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7B213" w14:textId="59AFA95D" w:rsidR="006714B1" w:rsidRDefault="006714B1" w:rsidP="006714B1">
      <w:pPr>
        <w:pStyle w:val="NormaleWeb"/>
        <w:spacing w:after="0" w:afterAutospacing="0"/>
        <w:rPr>
          <w:rFonts w:ascii="Arial" w:hAnsi="Arial" w:cs="Arial"/>
          <w:color w:val="000000"/>
          <w:sz w:val="20"/>
          <w:szCs w:val="20"/>
        </w:rPr>
      </w:pPr>
      <w:r>
        <w:rPr>
          <w:rFonts w:ascii="Arial" w:hAnsi="Arial" w:cs="Arial"/>
          <w:color w:val="000000"/>
          <w:sz w:val="20"/>
          <w:szCs w:val="20"/>
        </w:rPr>
        <w:br/>
        <w:t xml:space="preserve">dovrei curare la </w:t>
      </w:r>
      <w:r>
        <w:rPr>
          <w:rFonts w:ascii="Arial" w:hAnsi="Arial" w:cs="Arial"/>
          <w:b/>
          <w:bCs/>
          <w:color w:val="000000"/>
          <w:sz w:val="20"/>
          <w:szCs w:val="20"/>
        </w:rPr>
        <w:t xml:space="preserve">vendita di un bene strumentale (autorimessa) da società non costruttrice a privato </w:t>
      </w:r>
      <w:r>
        <w:rPr>
          <w:rFonts w:ascii="Arial" w:hAnsi="Arial" w:cs="Arial"/>
          <w:color w:val="000000"/>
          <w:sz w:val="20"/>
          <w:szCs w:val="20"/>
        </w:rPr>
        <w:t>ancora indeciso se destinare il bene a pertinenza dell'abitazione principale.</w:t>
      </w:r>
    </w:p>
    <w:p w14:paraId="665EC442" w14:textId="77777777" w:rsidR="006714B1" w:rsidRDefault="006714B1" w:rsidP="006714B1">
      <w:pPr>
        <w:pStyle w:val="NormaleWeb"/>
        <w:spacing w:after="240" w:afterAutospacing="0"/>
        <w:rPr>
          <w:rFonts w:ascii="Arial" w:hAnsi="Arial" w:cs="Arial"/>
          <w:color w:val="000000"/>
          <w:sz w:val="20"/>
          <w:szCs w:val="20"/>
        </w:rPr>
      </w:pPr>
    </w:p>
    <w:p w14:paraId="5C9BF569" w14:textId="77777777" w:rsidR="006714B1" w:rsidRDefault="006714B1" w:rsidP="006714B1">
      <w:pPr>
        <w:pStyle w:val="NormaleWeb"/>
        <w:spacing w:after="0" w:afterAutospacing="0"/>
        <w:rPr>
          <w:rFonts w:ascii="Arial" w:hAnsi="Arial" w:cs="Arial"/>
          <w:color w:val="000000"/>
          <w:sz w:val="20"/>
          <w:szCs w:val="20"/>
        </w:rPr>
      </w:pPr>
      <w:r>
        <w:rPr>
          <w:rFonts w:ascii="Arial" w:hAnsi="Arial" w:cs="Arial"/>
          <w:color w:val="000000"/>
          <w:sz w:val="20"/>
          <w:szCs w:val="20"/>
        </w:rPr>
        <w:t xml:space="preserve">Ricordando gli ammonimenti di Mastro Trabax che simpaticamente insegna che &lt;&lt;per "azzeccarci" in questa astrusa materia, più che maior o minor, bisogna essere ... medium!?!&gt;&gt; e tenendo conto anche delle sue numerose indicazioni su questa Lista e nella sua ultima fatica editoriale, evinco </w:t>
      </w:r>
      <w:r>
        <w:rPr>
          <w:rStyle w:val="Enfasigrassetto"/>
          <w:rFonts w:ascii="Arial" w:hAnsi="Arial" w:cs="Arial"/>
          <w:color w:val="000000"/>
          <w:sz w:val="20"/>
          <w:szCs w:val="20"/>
        </w:rPr>
        <w:t>si possano sviluppare i tre scenari seguenti</w:t>
      </w:r>
      <w:r>
        <w:rPr>
          <w:rFonts w:ascii="Arial" w:hAnsi="Arial" w:cs="Arial"/>
          <w:color w:val="000000"/>
          <w:sz w:val="20"/>
          <w:szCs w:val="20"/>
        </w:rPr>
        <w:t>, secondo le scelte formulate dalle parti, non due soltanto, ciò tenendo conto degli effetti ricollegabili alla pertinenzialità qualora applicabile.</w:t>
      </w:r>
    </w:p>
    <w:p w14:paraId="6622AA63" w14:textId="77777777" w:rsidR="006714B1" w:rsidRDefault="006714B1" w:rsidP="006714B1">
      <w:pPr>
        <w:pStyle w:val="NormaleWeb"/>
        <w:spacing w:after="240" w:afterAutospacing="0"/>
        <w:rPr>
          <w:rFonts w:ascii="Arial" w:hAnsi="Arial" w:cs="Arial"/>
          <w:color w:val="000000"/>
          <w:sz w:val="20"/>
          <w:szCs w:val="20"/>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9622"/>
      </w:tblGrid>
      <w:tr w:rsidR="006714B1" w14:paraId="2D007D39" w14:textId="77777777" w:rsidTr="006714B1">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5AEF91B9" w14:textId="77777777" w:rsidR="006714B1" w:rsidRDefault="006714B1">
            <w:pPr>
              <w:pStyle w:val="NormaleWeb"/>
              <w:jc w:val="center"/>
              <w:rPr>
                <w:lang w:eastAsia="en-US"/>
              </w:rPr>
            </w:pPr>
            <w:r>
              <w:rPr>
                <w:b/>
                <w:bCs/>
                <w:lang w:eastAsia="en-US"/>
              </w:rPr>
              <w:t xml:space="preserve">VENDITA DI UN BENE STRUMENTALE </w:t>
            </w:r>
          </w:p>
          <w:p w14:paraId="33B6466B" w14:textId="77777777" w:rsidR="006714B1" w:rsidRDefault="006714B1">
            <w:pPr>
              <w:pStyle w:val="NormaleWeb"/>
              <w:jc w:val="center"/>
              <w:rPr>
                <w:lang w:eastAsia="en-US"/>
              </w:rPr>
            </w:pPr>
            <w:r>
              <w:rPr>
                <w:b/>
                <w:bCs/>
                <w:lang w:eastAsia="en-US"/>
              </w:rPr>
              <w:t xml:space="preserve">(AUTORIMESSA) </w:t>
            </w:r>
          </w:p>
          <w:p w14:paraId="72B83309" w14:textId="77777777" w:rsidR="006714B1" w:rsidRDefault="006714B1">
            <w:pPr>
              <w:pStyle w:val="NormaleWeb"/>
              <w:jc w:val="center"/>
              <w:rPr>
                <w:lang w:eastAsia="en-US"/>
              </w:rPr>
            </w:pPr>
            <w:r>
              <w:rPr>
                <w:b/>
                <w:bCs/>
                <w:lang w:eastAsia="en-US"/>
              </w:rPr>
              <w:t xml:space="preserve">DA SOCIETÀ NON COSTRUTTRICE </w:t>
            </w:r>
          </w:p>
          <w:p w14:paraId="1F8ADB01" w14:textId="77777777" w:rsidR="006714B1" w:rsidRDefault="006714B1">
            <w:pPr>
              <w:pStyle w:val="NormaleWeb"/>
              <w:jc w:val="center"/>
              <w:rPr>
                <w:lang w:eastAsia="en-US"/>
              </w:rPr>
            </w:pPr>
            <w:r>
              <w:rPr>
                <w:b/>
                <w:bCs/>
                <w:lang w:eastAsia="en-US"/>
              </w:rPr>
              <w:t>A PRIVATO</w:t>
            </w:r>
          </w:p>
        </w:tc>
      </w:tr>
    </w:tbl>
    <w:p w14:paraId="06D0AE9B" w14:textId="77777777" w:rsidR="006714B1" w:rsidRDefault="006714B1" w:rsidP="006714B1">
      <w:pPr>
        <w:pStyle w:val="NormaleWeb"/>
        <w:spacing w:before="0" w:beforeAutospacing="0" w:after="0" w:afterAutospacing="0"/>
        <w:rPr>
          <w:rFonts w:ascii="Arial" w:hAnsi="Arial" w:cs="Arial"/>
          <w:vanish/>
          <w:color w:val="000000"/>
          <w:sz w:val="20"/>
          <w:szCs w:val="20"/>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3207"/>
        <w:gridCol w:w="3207"/>
        <w:gridCol w:w="3208"/>
      </w:tblGrid>
      <w:tr w:rsidR="006714B1" w14:paraId="2C829BCD" w14:textId="77777777" w:rsidTr="006714B1">
        <w:trPr>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0EC71AF2" w14:textId="77777777" w:rsidR="006714B1" w:rsidRDefault="006714B1">
            <w:pPr>
              <w:pStyle w:val="NormaleWeb"/>
              <w:jc w:val="center"/>
              <w:rPr>
                <w:lang w:eastAsia="en-US"/>
              </w:rPr>
            </w:pPr>
            <w:r>
              <w:rPr>
                <w:b/>
                <w:bCs/>
                <w:u w:val="single"/>
                <w:lang w:eastAsia="en-US"/>
              </w:rPr>
              <w:t xml:space="preserve">Se </w:t>
            </w:r>
            <w:r>
              <w:rPr>
                <w:b/>
                <w:bCs/>
                <w:lang w:eastAsia="en-US"/>
              </w:rPr>
              <w:t xml:space="preserve">la Società esercita </w:t>
            </w:r>
            <w:r>
              <w:rPr>
                <w:b/>
                <w:bCs/>
                <w:u w:val="single"/>
                <w:lang w:eastAsia="en-US"/>
              </w:rPr>
              <w:t xml:space="preserve">opzione IVA </w:t>
            </w:r>
          </w:p>
          <w:p w14:paraId="076176F5" w14:textId="77777777" w:rsidR="006714B1" w:rsidRDefault="006714B1">
            <w:pPr>
              <w:pStyle w:val="NormaleWeb"/>
              <w:jc w:val="center"/>
              <w:rPr>
                <w:lang w:eastAsia="en-US"/>
              </w:rPr>
            </w:pPr>
            <w:r>
              <w:rPr>
                <w:b/>
                <w:bCs/>
                <w:lang w:eastAsia="en-US"/>
              </w:rPr>
              <w:t>(e il privato nulla specifica)</w:t>
            </w:r>
            <w:r>
              <w:rPr>
                <w:lang w:eastAsia="en-US"/>
              </w:rPr>
              <w:br/>
            </w:r>
            <w:r>
              <w:rPr>
                <w:lang w:eastAsia="en-US"/>
              </w:rPr>
              <w:br/>
            </w:r>
            <w:r>
              <w:rPr>
                <w:lang w:eastAsia="en-US"/>
              </w:rPr>
              <w:br/>
            </w:r>
            <w:r>
              <w:rPr>
                <w:i/>
                <w:iCs/>
                <w:lang w:eastAsia="en-US"/>
              </w:rPr>
              <w:t>IVA</w:t>
            </w:r>
            <w:r>
              <w:rPr>
                <w:lang w:eastAsia="en-US"/>
              </w:rPr>
              <w:t xml:space="preserve">: </w:t>
            </w:r>
            <w:r>
              <w:rPr>
                <w:b/>
                <w:bCs/>
                <w:lang w:eastAsia="en-US"/>
              </w:rPr>
              <w:t>10% o 22%</w:t>
            </w:r>
            <w:r>
              <w:rPr>
                <w:lang w:eastAsia="en-US"/>
              </w:rPr>
              <w:br/>
            </w:r>
            <w:r>
              <w:rPr>
                <w:i/>
                <w:iCs/>
                <w:lang w:eastAsia="en-US"/>
              </w:rPr>
              <w:t>Registro</w:t>
            </w:r>
            <w:r>
              <w:rPr>
                <w:lang w:eastAsia="en-US"/>
              </w:rPr>
              <w:t xml:space="preserve">: </w:t>
            </w:r>
            <w:r>
              <w:rPr>
                <w:b/>
                <w:bCs/>
                <w:lang w:eastAsia="en-US"/>
              </w:rPr>
              <w:t>fissa (Euro 200,00)</w:t>
            </w:r>
            <w:r>
              <w:rPr>
                <w:lang w:eastAsia="en-US"/>
              </w:rPr>
              <w:br/>
            </w:r>
            <w:r>
              <w:rPr>
                <w:i/>
                <w:iCs/>
                <w:lang w:eastAsia="en-US"/>
              </w:rPr>
              <w:t>Ipotecaria</w:t>
            </w:r>
            <w:r>
              <w:rPr>
                <w:lang w:eastAsia="en-US"/>
              </w:rPr>
              <w:t xml:space="preserve">: </w:t>
            </w:r>
            <w:r>
              <w:rPr>
                <w:b/>
                <w:bCs/>
                <w:lang w:eastAsia="en-US"/>
              </w:rPr>
              <w:t>3%</w:t>
            </w:r>
            <w:r>
              <w:rPr>
                <w:lang w:eastAsia="en-US"/>
              </w:rPr>
              <w:br/>
            </w:r>
            <w:r>
              <w:rPr>
                <w:i/>
                <w:iCs/>
                <w:lang w:eastAsia="en-US"/>
              </w:rPr>
              <w:t>Catastale</w:t>
            </w:r>
            <w:r>
              <w:rPr>
                <w:lang w:eastAsia="en-US"/>
              </w:rPr>
              <w:t xml:space="preserve">: </w:t>
            </w:r>
            <w:r>
              <w:rPr>
                <w:b/>
                <w:bCs/>
                <w:lang w:eastAsia="en-US"/>
              </w:rPr>
              <w:t>l%</w:t>
            </w:r>
          </w:p>
          <w:p w14:paraId="411D3B98" w14:textId="77777777" w:rsidR="006714B1" w:rsidRDefault="006714B1">
            <w:pPr>
              <w:pStyle w:val="NormaleWeb"/>
              <w:rPr>
                <w:lang w:eastAsia="en-US"/>
              </w:rPr>
            </w:pPr>
            <w:r>
              <w:rPr>
                <w:i/>
                <w:iCs/>
                <w:lang w:eastAsia="en-US"/>
              </w:rPr>
              <w:t>Bollo</w:t>
            </w:r>
            <w:r>
              <w:rPr>
                <w:lang w:eastAsia="en-US"/>
              </w:rPr>
              <w:t xml:space="preserve">: </w:t>
            </w:r>
            <w:r>
              <w:rPr>
                <w:b/>
                <w:bCs/>
                <w:lang w:eastAsia="en-US"/>
              </w:rPr>
              <w:t>Euro 230,00</w:t>
            </w:r>
          </w:p>
        </w:tc>
        <w:tc>
          <w:tcPr>
            <w:tcW w:w="1650" w:type="pct"/>
            <w:tcBorders>
              <w:top w:val="outset" w:sz="6" w:space="0" w:color="000000"/>
              <w:left w:val="outset" w:sz="6" w:space="0" w:color="000000"/>
              <w:bottom w:val="outset" w:sz="6" w:space="0" w:color="000000"/>
              <w:right w:val="outset" w:sz="6" w:space="0" w:color="000000"/>
            </w:tcBorders>
            <w:hideMark/>
          </w:tcPr>
          <w:p w14:paraId="1983FE9A" w14:textId="77777777" w:rsidR="006714B1" w:rsidRDefault="006714B1">
            <w:pPr>
              <w:pStyle w:val="NormaleWeb"/>
              <w:spacing w:after="0" w:afterAutospacing="0"/>
              <w:jc w:val="center"/>
              <w:rPr>
                <w:lang w:eastAsia="en-US"/>
              </w:rPr>
            </w:pPr>
            <w:r>
              <w:rPr>
                <w:b/>
                <w:bCs/>
                <w:u w:val="single"/>
                <w:lang w:eastAsia="en-US"/>
              </w:rPr>
              <w:t>Se</w:t>
            </w:r>
            <w:r>
              <w:rPr>
                <w:b/>
                <w:bCs/>
                <w:lang w:eastAsia="en-US"/>
              </w:rPr>
              <w:t xml:space="preserve"> la Società </w:t>
            </w:r>
            <w:r>
              <w:rPr>
                <w:b/>
                <w:bCs/>
                <w:u w:val="single"/>
                <w:lang w:eastAsia="en-US"/>
              </w:rPr>
              <w:t>NON esercita</w:t>
            </w:r>
            <w:r>
              <w:rPr>
                <w:b/>
                <w:bCs/>
                <w:lang w:eastAsia="en-US"/>
              </w:rPr>
              <w:t xml:space="preserve"> </w:t>
            </w:r>
            <w:r>
              <w:rPr>
                <w:b/>
                <w:bCs/>
                <w:u w:val="single"/>
                <w:lang w:eastAsia="en-US"/>
              </w:rPr>
              <w:t xml:space="preserve">opzione IVA </w:t>
            </w:r>
          </w:p>
          <w:p w14:paraId="77CB1F40" w14:textId="77777777" w:rsidR="006714B1" w:rsidRDefault="006714B1">
            <w:pPr>
              <w:pStyle w:val="NormaleWeb"/>
              <w:jc w:val="center"/>
              <w:rPr>
                <w:lang w:eastAsia="en-US"/>
              </w:rPr>
            </w:pPr>
            <w:r>
              <w:rPr>
                <w:b/>
                <w:bCs/>
                <w:lang w:eastAsia="en-US"/>
              </w:rPr>
              <w:t>(e il privato nulla specifica)</w:t>
            </w:r>
            <w:r>
              <w:rPr>
                <w:lang w:eastAsia="en-US"/>
              </w:rPr>
              <w:br/>
            </w:r>
            <w:r>
              <w:rPr>
                <w:lang w:eastAsia="en-US"/>
              </w:rPr>
              <w:br/>
            </w:r>
            <w:r>
              <w:rPr>
                <w:lang w:eastAsia="en-US"/>
              </w:rPr>
              <w:br/>
            </w:r>
            <w:r>
              <w:rPr>
                <w:i/>
                <w:iCs/>
                <w:lang w:eastAsia="en-US"/>
              </w:rPr>
              <w:t>IVA</w:t>
            </w:r>
            <w:r>
              <w:rPr>
                <w:lang w:eastAsia="en-US"/>
              </w:rPr>
              <w:t xml:space="preserve">: </w:t>
            </w:r>
            <w:r>
              <w:rPr>
                <w:b/>
                <w:bCs/>
                <w:lang w:eastAsia="en-US"/>
              </w:rPr>
              <w:t>esente</w:t>
            </w:r>
            <w:r>
              <w:rPr>
                <w:lang w:eastAsia="en-US"/>
              </w:rPr>
              <w:br/>
            </w:r>
            <w:r>
              <w:rPr>
                <w:i/>
                <w:iCs/>
                <w:lang w:eastAsia="en-US"/>
              </w:rPr>
              <w:t>Registro</w:t>
            </w:r>
            <w:r>
              <w:rPr>
                <w:lang w:eastAsia="en-US"/>
              </w:rPr>
              <w:t xml:space="preserve">: </w:t>
            </w:r>
            <w:r>
              <w:rPr>
                <w:b/>
                <w:bCs/>
                <w:lang w:eastAsia="en-US"/>
              </w:rPr>
              <w:t>fissa (Euro 200,00)</w:t>
            </w:r>
            <w:r>
              <w:rPr>
                <w:lang w:eastAsia="en-US"/>
              </w:rPr>
              <w:br/>
            </w:r>
            <w:r>
              <w:rPr>
                <w:i/>
                <w:iCs/>
                <w:lang w:eastAsia="en-US"/>
              </w:rPr>
              <w:t>Ipotecaria</w:t>
            </w:r>
            <w:r>
              <w:rPr>
                <w:lang w:eastAsia="en-US"/>
              </w:rPr>
              <w:t xml:space="preserve">: </w:t>
            </w:r>
            <w:r>
              <w:rPr>
                <w:b/>
                <w:bCs/>
                <w:lang w:eastAsia="en-US"/>
              </w:rPr>
              <w:t>3%</w:t>
            </w:r>
          </w:p>
          <w:p w14:paraId="467ADB20" w14:textId="77777777" w:rsidR="006714B1" w:rsidRDefault="006714B1">
            <w:pPr>
              <w:pStyle w:val="NormaleWeb"/>
              <w:rPr>
                <w:lang w:eastAsia="en-US"/>
              </w:rPr>
            </w:pPr>
            <w:r>
              <w:rPr>
                <w:i/>
                <w:iCs/>
                <w:lang w:eastAsia="en-US"/>
              </w:rPr>
              <w:t>Catastale</w:t>
            </w:r>
            <w:r>
              <w:rPr>
                <w:lang w:eastAsia="en-US"/>
              </w:rPr>
              <w:t xml:space="preserve">: </w:t>
            </w:r>
            <w:r>
              <w:rPr>
                <w:b/>
                <w:bCs/>
                <w:lang w:eastAsia="en-US"/>
              </w:rPr>
              <w:t>l%</w:t>
            </w:r>
          </w:p>
          <w:p w14:paraId="723544A5" w14:textId="77777777" w:rsidR="006714B1" w:rsidRDefault="006714B1">
            <w:pPr>
              <w:pStyle w:val="NormaleWeb"/>
              <w:rPr>
                <w:lang w:eastAsia="en-US"/>
              </w:rPr>
            </w:pPr>
            <w:r>
              <w:rPr>
                <w:i/>
                <w:iCs/>
                <w:lang w:eastAsia="en-US"/>
              </w:rPr>
              <w:t>Bollo</w:t>
            </w:r>
            <w:r>
              <w:rPr>
                <w:lang w:eastAsia="en-US"/>
              </w:rPr>
              <w:t>:</w:t>
            </w:r>
            <w:r>
              <w:rPr>
                <w:b/>
                <w:bCs/>
                <w:lang w:eastAsia="en-US"/>
              </w:rPr>
              <w:t xml:space="preserve"> Euro 230,00</w:t>
            </w:r>
          </w:p>
        </w:tc>
        <w:tc>
          <w:tcPr>
            <w:tcW w:w="1650" w:type="pct"/>
            <w:tcBorders>
              <w:top w:val="outset" w:sz="6" w:space="0" w:color="000000"/>
              <w:left w:val="outset" w:sz="6" w:space="0" w:color="000000"/>
              <w:bottom w:val="outset" w:sz="6" w:space="0" w:color="000000"/>
              <w:right w:val="outset" w:sz="6" w:space="0" w:color="000000"/>
            </w:tcBorders>
            <w:hideMark/>
          </w:tcPr>
          <w:p w14:paraId="00976EF9" w14:textId="77777777" w:rsidR="006714B1" w:rsidRDefault="006714B1">
            <w:pPr>
              <w:pStyle w:val="NormaleWeb"/>
              <w:spacing w:after="0" w:afterAutospacing="0"/>
              <w:jc w:val="center"/>
              <w:rPr>
                <w:lang w:eastAsia="en-US"/>
              </w:rPr>
            </w:pPr>
            <w:r>
              <w:rPr>
                <w:b/>
                <w:bCs/>
                <w:u w:val="single"/>
                <w:lang w:eastAsia="en-US"/>
              </w:rPr>
              <w:t>Se</w:t>
            </w:r>
            <w:r>
              <w:rPr>
                <w:b/>
                <w:bCs/>
                <w:lang w:eastAsia="en-US"/>
              </w:rPr>
              <w:t xml:space="preserve"> la Società </w:t>
            </w:r>
            <w:r>
              <w:rPr>
                <w:b/>
                <w:bCs/>
                <w:u w:val="single"/>
                <w:lang w:eastAsia="en-US"/>
              </w:rPr>
              <w:t>non esercita</w:t>
            </w:r>
            <w:r>
              <w:rPr>
                <w:b/>
                <w:bCs/>
                <w:lang w:eastAsia="en-US"/>
              </w:rPr>
              <w:t xml:space="preserve"> </w:t>
            </w:r>
            <w:r>
              <w:rPr>
                <w:b/>
                <w:bCs/>
                <w:u w:val="single"/>
                <w:lang w:eastAsia="en-US"/>
              </w:rPr>
              <w:t xml:space="preserve">opzione IVA e il </w:t>
            </w:r>
            <w:proofErr w:type="gramStart"/>
            <w:r>
              <w:rPr>
                <w:b/>
                <w:bCs/>
                <w:u w:val="single"/>
                <w:lang w:eastAsia="en-US"/>
              </w:rPr>
              <w:t>privato  manifesta</w:t>
            </w:r>
            <w:proofErr w:type="gramEnd"/>
            <w:r>
              <w:rPr>
                <w:b/>
                <w:bCs/>
                <w:u w:val="single"/>
                <w:lang w:eastAsia="en-US"/>
              </w:rPr>
              <w:t xml:space="preserve"> il collegamento pertinenziale</w:t>
            </w:r>
            <w:r>
              <w:rPr>
                <w:b/>
                <w:bCs/>
                <w:lang w:eastAsia="en-US"/>
              </w:rPr>
              <w:t xml:space="preserve"> (1^ casa o 2^)</w:t>
            </w:r>
            <w:r>
              <w:rPr>
                <w:lang w:eastAsia="en-US"/>
              </w:rPr>
              <w:br/>
            </w:r>
            <w:r>
              <w:rPr>
                <w:i/>
                <w:iCs/>
                <w:lang w:eastAsia="en-US"/>
              </w:rPr>
              <w:t>IVA</w:t>
            </w:r>
            <w:r>
              <w:rPr>
                <w:lang w:eastAsia="en-US"/>
              </w:rPr>
              <w:t>:</w:t>
            </w:r>
            <w:r>
              <w:rPr>
                <w:b/>
                <w:bCs/>
                <w:lang w:eastAsia="en-US"/>
              </w:rPr>
              <w:t xml:space="preserve"> -</w:t>
            </w:r>
            <w:r>
              <w:rPr>
                <w:lang w:eastAsia="en-US"/>
              </w:rPr>
              <w:br/>
            </w:r>
            <w:r>
              <w:rPr>
                <w:i/>
                <w:iCs/>
                <w:lang w:eastAsia="en-US"/>
              </w:rPr>
              <w:t>Registro</w:t>
            </w:r>
            <w:r>
              <w:rPr>
                <w:lang w:eastAsia="en-US"/>
              </w:rPr>
              <w:t xml:space="preserve">: </w:t>
            </w:r>
            <w:r>
              <w:rPr>
                <w:b/>
                <w:bCs/>
                <w:lang w:eastAsia="en-US"/>
              </w:rPr>
              <w:t>2% o 9%</w:t>
            </w:r>
            <w:r>
              <w:rPr>
                <w:lang w:eastAsia="en-US"/>
              </w:rPr>
              <w:br/>
            </w:r>
            <w:r>
              <w:rPr>
                <w:i/>
                <w:iCs/>
                <w:lang w:eastAsia="en-US"/>
              </w:rPr>
              <w:t>Ipotecaria</w:t>
            </w:r>
            <w:r>
              <w:rPr>
                <w:lang w:eastAsia="en-US"/>
              </w:rPr>
              <w:t xml:space="preserve">: </w:t>
            </w:r>
            <w:r>
              <w:rPr>
                <w:b/>
                <w:bCs/>
                <w:lang w:eastAsia="en-US"/>
              </w:rPr>
              <w:t>Euro 50,00</w:t>
            </w:r>
          </w:p>
          <w:p w14:paraId="4C88F1D7" w14:textId="77777777" w:rsidR="006714B1" w:rsidRDefault="006714B1">
            <w:pPr>
              <w:pStyle w:val="NormaleWeb"/>
              <w:rPr>
                <w:lang w:eastAsia="en-US"/>
              </w:rPr>
            </w:pPr>
            <w:r>
              <w:rPr>
                <w:i/>
                <w:iCs/>
                <w:lang w:eastAsia="en-US"/>
              </w:rPr>
              <w:t>Catastale</w:t>
            </w:r>
            <w:r>
              <w:rPr>
                <w:lang w:eastAsia="en-US"/>
              </w:rPr>
              <w:t xml:space="preserve">: </w:t>
            </w:r>
            <w:r>
              <w:rPr>
                <w:b/>
                <w:bCs/>
                <w:lang w:eastAsia="en-US"/>
              </w:rPr>
              <w:t>Euro 50,00</w:t>
            </w:r>
          </w:p>
          <w:p w14:paraId="3CB2A577" w14:textId="77777777" w:rsidR="006714B1" w:rsidRDefault="006714B1">
            <w:pPr>
              <w:pStyle w:val="NormaleWeb"/>
              <w:rPr>
                <w:lang w:eastAsia="en-US"/>
              </w:rPr>
            </w:pPr>
            <w:r>
              <w:rPr>
                <w:i/>
                <w:iCs/>
                <w:lang w:eastAsia="en-US"/>
              </w:rPr>
              <w:t>Bollo</w:t>
            </w:r>
            <w:r>
              <w:rPr>
                <w:lang w:eastAsia="en-US"/>
              </w:rPr>
              <w:t>:</w:t>
            </w:r>
            <w:r>
              <w:rPr>
                <w:b/>
                <w:bCs/>
                <w:lang w:eastAsia="en-US"/>
              </w:rPr>
              <w:t xml:space="preserve"> -</w:t>
            </w:r>
          </w:p>
        </w:tc>
      </w:tr>
    </w:tbl>
    <w:p w14:paraId="299FCB96" w14:textId="77777777" w:rsidR="006714B1" w:rsidRDefault="006714B1" w:rsidP="006714B1">
      <w:pPr>
        <w:pStyle w:val="NormaleWeb"/>
        <w:spacing w:after="240" w:afterAutospacing="0"/>
        <w:rPr>
          <w:rFonts w:ascii="Arial" w:hAnsi="Arial" w:cs="Arial"/>
          <w:color w:val="000000"/>
          <w:sz w:val="20"/>
          <w:szCs w:val="20"/>
        </w:rPr>
      </w:pPr>
    </w:p>
    <w:p w14:paraId="7251F13C" w14:textId="1A7F8D5B" w:rsidR="006714B1" w:rsidRDefault="006714B1" w:rsidP="006714B1">
      <w:pPr>
        <w:pStyle w:val="NormaleWeb"/>
        <w:pBdr>
          <w:bottom w:val="single" w:sz="6" w:space="1" w:color="auto"/>
        </w:pBdr>
        <w:spacing w:after="240" w:afterAutospacing="0"/>
        <w:rPr>
          <w:rFonts w:ascii="Arial" w:hAnsi="Arial" w:cs="Arial"/>
          <w:color w:val="000000"/>
          <w:sz w:val="20"/>
          <w:szCs w:val="20"/>
        </w:rPr>
      </w:pPr>
      <w:r>
        <w:rPr>
          <w:rFonts w:ascii="Arial" w:hAnsi="Arial" w:cs="Arial"/>
          <w:color w:val="000000"/>
          <w:sz w:val="20"/>
          <w:szCs w:val="20"/>
        </w:rPr>
        <w:t xml:space="preserve">Inoltre, mi pare si possa concludere che </w:t>
      </w:r>
      <w:r>
        <w:rPr>
          <w:rFonts w:ascii="Arial" w:hAnsi="Arial" w:cs="Arial"/>
          <w:color w:val="000000"/>
          <w:sz w:val="20"/>
          <w:szCs w:val="20"/>
          <w:u w:val="single"/>
        </w:rPr>
        <w:t xml:space="preserve">in caso di opzione della Società, il privato cessionario debba subire il conseguente trattamento fiscale </w:t>
      </w:r>
      <w:r>
        <w:rPr>
          <w:rFonts w:ascii="Arial" w:hAnsi="Arial" w:cs="Arial"/>
          <w:color w:val="000000"/>
          <w:sz w:val="20"/>
          <w:szCs w:val="20"/>
        </w:rPr>
        <w:t xml:space="preserve">senza poter pretendere di imporre le proprie preferenze, causa "circolarità" IVA. </w:t>
      </w:r>
    </w:p>
    <w:p w14:paraId="3DF5F961" w14:textId="77777777" w:rsidR="006714B1" w:rsidRDefault="006714B1" w:rsidP="006714B1">
      <w:pPr>
        <w:pStyle w:val="NormaleWeb"/>
        <w:pBdr>
          <w:bottom w:val="single" w:sz="6" w:space="1" w:color="auto"/>
        </w:pBdr>
        <w:spacing w:after="240" w:afterAutospacing="0"/>
        <w:rPr>
          <w:rFonts w:ascii="Arial" w:hAnsi="Arial" w:cs="Arial"/>
          <w:color w:val="000000"/>
          <w:sz w:val="20"/>
          <w:szCs w:val="20"/>
        </w:rPr>
      </w:pPr>
    </w:p>
    <w:p w14:paraId="445FFEBB" w14:textId="77777777" w:rsidR="0050489F" w:rsidRDefault="006714B1" w:rsidP="00037637">
      <w:pPr>
        <w:pStyle w:val="NormaleWeb"/>
        <w:spacing w:after="240" w:afterAutospacing="0"/>
        <w:jc w:val="both"/>
        <w:rPr>
          <w:rFonts w:eastAsia="Times New Roman"/>
          <w:sz w:val="27"/>
          <w:szCs w:val="27"/>
        </w:rPr>
      </w:pPr>
      <w:r>
        <w:rPr>
          <w:rFonts w:eastAsia="Times New Roman"/>
          <w:sz w:val="27"/>
          <w:szCs w:val="27"/>
        </w:rPr>
        <w:t>Segnalo come "fatto nuovo", quello riferitomi da un collega.</w:t>
      </w:r>
    </w:p>
    <w:p w14:paraId="73F4D355" w14:textId="170830E0" w:rsidR="00037637" w:rsidRDefault="00037637" w:rsidP="00037637">
      <w:pPr>
        <w:pStyle w:val="NormaleWeb"/>
        <w:spacing w:after="240" w:afterAutospacing="0"/>
        <w:jc w:val="both"/>
        <w:rPr>
          <w:rFonts w:eastAsia="Times New Roman"/>
          <w:sz w:val="27"/>
          <w:szCs w:val="27"/>
        </w:rPr>
      </w:pPr>
      <w:r>
        <w:rPr>
          <w:rFonts w:eastAsia="Times New Roman"/>
          <w:sz w:val="27"/>
          <w:szCs w:val="27"/>
        </w:rPr>
        <w:t xml:space="preserve">La società venditrice (non costruttrice) intendeva esercitare l'opzione Iva (per motivi di detrazione) mentre l'acquirente intendeva manifestare la volontà di destinare l'autorimessa a pertinenza di un'abitazione (così, a suo avviso, avrebbe pagato </w:t>
      </w:r>
      <w:r w:rsidR="006714B1">
        <w:rPr>
          <w:rFonts w:eastAsia="Times New Roman"/>
          <w:sz w:val="27"/>
          <w:szCs w:val="27"/>
        </w:rPr>
        <w:t>l'IVA ma non le ipo-catastali rinforzate).</w:t>
      </w:r>
    </w:p>
    <w:p w14:paraId="2C95AFF0" w14:textId="77777777" w:rsidR="00037637" w:rsidRDefault="006714B1" w:rsidP="00037637">
      <w:pPr>
        <w:pStyle w:val="NormaleWeb"/>
        <w:spacing w:after="240" w:afterAutospacing="0"/>
        <w:jc w:val="both"/>
        <w:rPr>
          <w:rFonts w:eastAsia="Times New Roman"/>
          <w:sz w:val="27"/>
          <w:szCs w:val="27"/>
        </w:rPr>
      </w:pPr>
      <w:r>
        <w:rPr>
          <w:rFonts w:eastAsia="Times New Roman"/>
          <w:sz w:val="27"/>
          <w:szCs w:val="27"/>
        </w:rPr>
        <w:br/>
      </w:r>
      <w:r>
        <w:rPr>
          <w:rFonts w:eastAsia="Times New Roman"/>
          <w:sz w:val="27"/>
          <w:szCs w:val="27"/>
        </w:rPr>
        <w:br/>
      </w:r>
      <w:r>
        <w:rPr>
          <w:rFonts w:eastAsia="Times New Roman"/>
          <w:sz w:val="27"/>
          <w:szCs w:val="27"/>
        </w:rPr>
        <w:lastRenderedPageBreak/>
        <w:t xml:space="preserve">Il notaio, come voluto dalle parti, aveva riportato in atto sia </w:t>
      </w:r>
      <w:r>
        <w:rPr>
          <w:rFonts w:eastAsia="Times New Roman"/>
          <w:sz w:val="27"/>
          <w:szCs w:val="27"/>
        </w:rPr>
        <w:br/>
        <w:t xml:space="preserve">l'opzione Iva della cedente, sia la destinazione pertinenziale </w:t>
      </w:r>
      <w:r>
        <w:rPr>
          <w:rFonts w:eastAsia="Times New Roman"/>
          <w:sz w:val="27"/>
          <w:szCs w:val="27"/>
        </w:rPr>
        <w:br/>
        <w:t>del cessionario, tassando con imposte di registro, ipotecaria</w:t>
      </w:r>
      <w:r>
        <w:rPr>
          <w:rFonts w:eastAsia="Times New Roman"/>
          <w:sz w:val="27"/>
          <w:szCs w:val="27"/>
        </w:rPr>
        <w:br/>
        <w:t>e catastale in misura fissa.</w:t>
      </w:r>
    </w:p>
    <w:p w14:paraId="6653677E" w14:textId="77777777" w:rsidR="0050489F" w:rsidRDefault="006714B1" w:rsidP="00037637">
      <w:pPr>
        <w:pStyle w:val="NormaleWeb"/>
        <w:spacing w:after="240" w:afterAutospacing="0"/>
        <w:jc w:val="both"/>
        <w:rPr>
          <w:rFonts w:eastAsia="Times New Roman"/>
          <w:sz w:val="27"/>
          <w:szCs w:val="27"/>
        </w:rPr>
      </w:pPr>
      <w:r>
        <w:rPr>
          <w:rFonts w:eastAsia="Times New Roman"/>
          <w:sz w:val="27"/>
          <w:szCs w:val="27"/>
        </w:rPr>
        <w:br/>
        <w:t>Nei 60 giorni l'Ufficio - dando rilevanza alla destinazione</w:t>
      </w:r>
      <w:r>
        <w:rPr>
          <w:rFonts w:eastAsia="Times New Roman"/>
          <w:sz w:val="27"/>
          <w:szCs w:val="27"/>
        </w:rPr>
        <w:br/>
        <w:t xml:space="preserve">pertinenziale </w:t>
      </w:r>
      <w:proofErr w:type="gramStart"/>
      <w:r>
        <w:rPr>
          <w:rFonts w:eastAsia="Times New Roman"/>
          <w:sz w:val="27"/>
          <w:szCs w:val="27"/>
        </w:rPr>
        <w:t>dell'acquirente  (</w:t>
      </w:r>
      <w:proofErr w:type="gramEnd"/>
      <w:r>
        <w:rPr>
          <w:rFonts w:eastAsia="Times New Roman"/>
          <w:sz w:val="27"/>
          <w:szCs w:val="27"/>
        </w:rPr>
        <w:t>perchè veniva dopo l'esercizio</w:t>
      </w:r>
      <w:r>
        <w:rPr>
          <w:rFonts w:eastAsia="Times New Roman"/>
          <w:sz w:val="27"/>
          <w:szCs w:val="27"/>
        </w:rPr>
        <w:br/>
        <w:t xml:space="preserve">dell'opzione (sic) - notificava al notaio avviso di  riliquidazione </w:t>
      </w:r>
      <w:r>
        <w:rPr>
          <w:rFonts w:eastAsia="Times New Roman"/>
          <w:sz w:val="27"/>
          <w:szCs w:val="27"/>
        </w:rPr>
        <w:br/>
        <w:t xml:space="preserve">con  applicazione dell'imposta di registro proporzionale del  9% </w:t>
      </w:r>
      <w:r>
        <w:rPr>
          <w:rFonts w:eastAsia="Times New Roman"/>
          <w:sz w:val="27"/>
          <w:szCs w:val="27"/>
        </w:rPr>
        <w:br/>
        <w:t>sul corrispettivo, in assenza di richiesta in atto del  prezzo - valore.</w:t>
      </w:r>
    </w:p>
    <w:p w14:paraId="4D0DEECC" w14:textId="74B3E47D" w:rsidR="00037637" w:rsidRDefault="006714B1" w:rsidP="00037637">
      <w:pPr>
        <w:pStyle w:val="NormaleWeb"/>
        <w:spacing w:after="240" w:afterAutospacing="0"/>
        <w:jc w:val="both"/>
        <w:rPr>
          <w:rFonts w:eastAsia="Times New Roman"/>
          <w:sz w:val="27"/>
          <w:szCs w:val="27"/>
        </w:rPr>
      </w:pPr>
      <w:r>
        <w:rPr>
          <w:rFonts w:eastAsia="Times New Roman"/>
          <w:sz w:val="27"/>
          <w:szCs w:val="27"/>
        </w:rPr>
        <w:t>Accogliendo la tesi della prevalenza della volontà della parte</w:t>
      </w:r>
      <w:r>
        <w:rPr>
          <w:rFonts w:eastAsia="Times New Roman"/>
          <w:sz w:val="27"/>
          <w:szCs w:val="27"/>
        </w:rPr>
        <w:br/>
        <w:t xml:space="preserve">cedente, in sede di registrazione l'atto avrebbe dovuto essere </w:t>
      </w:r>
      <w:r>
        <w:rPr>
          <w:rFonts w:eastAsia="Times New Roman"/>
          <w:sz w:val="27"/>
          <w:szCs w:val="27"/>
        </w:rPr>
        <w:br/>
        <w:t>tassato con imposta di registro in misura fissa e ipotecaria</w:t>
      </w:r>
      <w:r>
        <w:rPr>
          <w:rFonts w:eastAsia="Times New Roman"/>
          <w:sz w:val="27"/>
          <w:szCs w:val="27"/>
        </w:rPr>
        <w:br/>
        <w:t>e catastale del 3 e 1 per cento.</w:t>
      </w:r>
    </w:p>
    <w:p w14:paraId="25049E92" w14:textId="3D441078" w:rsidR="006714B1" w:rsidRDefault="006714B1" w:rsidP="006714B1">
      <w:pPr>
        <w:pStyle w:val="NormaleWeb"/>
        <w:pBdr>
          <w:bottom w:val="single" w:sz="6" w:space="1" w:color="auto"/>
        </w:pBdr>
        <w:spacing w:after="240" w:afterAutospacing="0"/>
        <w:rPr>
          <w:rFonts w:ascii="Arial" w:hAnsi="Arial" w:cs="Arial"/>
          <w:color w:val="000000"/>
          <w:sz w:val="20"/>
          <w:szCs w:val="20"/>
        </w:rPr>
      </w:pPr>
      <w:bookmarkStart w:id="0" w:name="_Hlk52898706"/>
    </w:p>
    <w:bookmarkEnd w:id="0"/>
    <w:p w14:paraId="1501131B" w14:textId="77777777" w:rsidR="0050489F" w:rsidRDefault="00142457" w:rsidP="00142457">
      <w:pPr>
        <w:pStyle w:val="NormaleWeb"/>
        <w:spacing w:after="0" w:afterAutospacing="0"/>
        <w:jc w:val="both"/>
        <w:rPr>
          <w:rFonts w:ascii="Arial" w:hAnsi="Arial" w:cs="Arial"/>
          <w:color w:val="000000"/>
          <w:sz w:val="24"/>
          <w:szCs w:val="24"/>
        </w:rPr>
      </w:pPr>
      <w:r>
        <w:rPr>
          <w:rFonts w:ascii="Arial" w:hAnsi="Arial" w:cs="Arial"/>
          <w:color w:val="000000"/>
          <w:sz w:val="24"/>
          <w:szCs w:val="24"/>
        </w:rPr>
        <w:t xml:space="preserve">Mi chiedo: la decisione è stata subita dal Collega senza obiezioni? Non riesco a trovare giustificazioni alla condotta dell'AE. Tanto più che, nel caso del Collega, cedente e cessionario concordavano sul regime da applicare all'atto, regime che dovrebbe </w:t>
      </w:r>
      <w:r w:rsidR="006714B1">
        <w:rPr>
          <w:rFonts w:ascii="Arial" w:hAnsi="Arial" w:cs="Arial"/>
          <w:color w:val="000000"/>
          <w:sz w:val="24"/>
          <w:szCs w:val="24"/>
        </w:rPr>
        <w:t xml:space="preserve">escludere, per il principio dell'alternatività, quello applicato dall'AE. </w:t>
      </w:r>
    </w:p>
    <w:p w14:paraId="03983915" w14:textId="18E5AC60" w:rsidR="006714B1" w:rsidRDefault="006714B1" w:rsidP="00142457">
      <w:pPr>
        <w:pStyle w:val="NormaleWeb"/>
        <w:spacing w:after="0" w:afterAutospacing="0"/>
        <w:jc w:val="both"/>
        <w:rPr>
          <w:rFonts w:ascii="Arial" w:hAnsi="Arial" w:cs="Arial"/>
          <w:color w:val="000000"/>
          <w:sz w:val="20"/>
          <w:szCs w:val="20"/>
        </w:rPr>
      </w:pPr>
      <w:r>
        <w:rPr>
          <w:rFonts w:ascii="Arial" w:hAnsi="Arial" w:cs="Arial"/>
          <w:color w:val="000000"/>
          <w:sz w:val="24"/>
          <w:szCs w:val="24"/>
        </w:rPr>
        <w:t xml:space="preserve">Eravamo rimasti alla notizia che fosse ancora in discussione quale delle preferenze debba prevalere </w:t>
      </w:r>
      <w:r>
        <w:rPr>
          <w:rFonts w:ascii="Arial" w:hAnsi="Arial" w:cs="Arial"/>
          <w:color w:val="000000"/>
          <w:sz w:val="24"/>
          <w:szCs w:val="24"/>
          <w:u w:val="single"/>
        </w:rPr>
        <w:t xml:space="preserve">quando manchi la concordia </w:t>
      </w:r>
      <w:r>
        <w:rPr>
          <w:rFonts w:ascii="Arial" w:hAnsi="Arial" w:cs="Arial"/>
          <w:color w:val="000000"/>
          <w:sz w:val="24"/>
          <w:szCs w:val="24"/>
        </w:rPr>
        <w:t>delle parti sul regime da applicare, non la convivenza tra regime IVA e pertinenzialità, che, almeno per la vendita da Società costruttrici e assimilate, sinora, se non ricordo male, non era mai stata messa in discussione. Rimarrebbe da capire perché la “convivenza” tra IVA e pertinenzialità sia stata esclusa nel caso del Collega, dato che vi sarebbe disparità di trattamento tra fattispecie transitanti nello stesso perimetro, quello dell'IVA, in cui la qualifica (costruttrici/non costruttrici) non sembrerebbe rilevante ai fini impositivi.</w:t>
      </w:r>
    </w:p>
    <w:p w14:paraId="3440BFEC" w14:textId="72F1388D" w:rsidR="0050489F" w:rsidRDefault="006714B1" w:rsidP="0050489F">
      <w:pPr>
        <w:pStyle w:val="NormaleWeb"/>
        <w:pBdr>
          <w:bottom w:val="single" w:sz="6" w:space="1" w:color="auto"/>
        </w:pBdr>
        <w:spacing w:after="0" w:afterAutospacing="0"/>
        <w:rPr>
          <w:rFonts w:ascii="Arial" w:hAnsi="Arial" w:cs="Arial"/>
          <w:color w:val="000000"/>
          <w:sz w:val="24"/>
          <w:szCs w:val="24"/>
        </w:rPr>
      </w:pPr>
      <w:r>
        <w:rPr>
          <w:rFonts w:ascii="Arial" w:hAnsi="Arial" w:cs="Arial"/>
          <w:color w:val="000000"/>
          <w:sz w:val="24"/>
          <w:szCs w:val="24"/>
        </w:rPr>
        <w:t xml:space="preserve">Il caso - novità ricordato rimarca, quindi, che alla griglia </w:t>
      </w:r>
      <w:proofErr w:type="gramStart"/>
      <w:r>
        <w:rPr>
          <w:rFonts w:ascii="Arial" w:hAnsi="Arial" w:cs="Arial"/>
          <w:color w:val="000000"/>
          <w:sz w:val="24"/>
          <w:szCs w:val="24"/>
        </w:rPr>
        <w:t>dell'email</w:t>
      </w:r>
      <w:proofErr w:type="gramEnd"/>
      <w:r>
        <w:rPr>
          <w:rFonts w:ascii="Arial" w:hAnsi="Arial" w:cs="Arial"/>
          <w:color w:val="000000"/>
          <w:sz w:val="24"/>
          <w:szCs w:val="24"/>
        </w:rPr>
        <w:t xml:space="preserve"> precedente può essere aggiunta, AE permettendo in pratica, l'ipotesi dimenticata dell'opzione IVA in combinato con l'enunciazione della pertinenzialità del bene strumentale. Se ben ricostruisco il quadro delle possibilità.</w:t>
      </w:r>
    </w:p>
    <w:p w14:paraId="2B136DF6" w14:textId="4EEC8FBD" w:rsidR="0050489F" w:rsidRPr="0050489F" w:rsidRDefault="0050489F" w:rsidP="0050489F">
      <w:pPr>
        <w:pStyle w:val="NormaleWeb"/>
        <w:pBdr>
          <w:bottom w:val="single" w:sz="6" w:space="1" w:color="auto"/>
        </w:pBdr>
        <w:spacing w:after="0" w:afterAutospacing="0"/>
        <w:rPr>
          <w:rFonts w:ascii="Arial" w:hAnsi="Arial" w:cs="Arial"/>
          <w:color w:val="000000"/>
          <w:sz w:val="24"/>
          <w:szCs w:val="24"/>
        </w:rPr>
      </w:pPr>
      <w:r>
        <w:rPr>
          <w:rFonts w:ascii="Arial" w:hAnsi="Arial" w:cs="Arial"/>
          <w:color w:val="000000"/>
          <w:sz w:val="24"/>
          <w:szCs w:val="24"/>
        </w:rPr>
        <w:t>--------------------------------</w:t>
      </w:r>
    </w:p>
    <w:p w14:paraId="1FE374A7" w14:textId="77777777" w:rsidR="00E37232" w:rsidRDefault="00142457" w:rsidP="00E37232">
      <w:pPr>
        <w:pStyle w:val="NormaleWeb"/>
        <w:pBdr>
          <w:bottom w:val="single" w:sz="6" w:space="1" w:color="auto"/>
        </w:pBdr>
        <w:spacing w:after="0" w:afterAutospacing="0"/>
        <w:rPr>
          <w:rFonts w:ascii="Arial" w:hAnsi="Arial" w:cs="Arial"/>
          <w:color w:val="000000"/>
          <w:sz w:val="20"/>
          <w:szCs w:val="20"/>
        </w:rPr>
      </w:pPr>
      <w:r>
        <w:rPr>
          <w:rFonts w:eastAsia="Times New Roman"/>
          <w:sz w:val="27"/>
          <w:szCs w:val="27"/>
        </w:rPr>
        <w:t xml:space="preserve">trattandosi di cessione effettuata da impresa non costruttrice/ristrutturatrice, a mio avviso l'opzione per l'Iva e l'opzione per la destinazione pertinenziale non possono coesistere. Atteso che con la destinazione pertinenziale il bene subisce una "mutazione genetica", da strumentale diventa abitativo, che in quanto tale preclude alla parte cedente la possibilità di esercitare l'opzione iva, ammessa, come sappiamo, per il non costruttore soltanto per gli immobili </w:t>
      </w:r>
      <w:r w:rsidR="006714B1">
        <w:rPr>
          <w:rFonts w:eastAsia="Times New Roman"/>
          <w:sz w:val="27"/>
          <w:szCs w:val="27"/>
        </w:rPr>
        <w:t xml:space="preserve">strumentali </w:t>
      </w:r>
      <w:proofErr w:type="gramStart"/>
      <w:r w:rsidR="006714B1">
        <w:rPr>
          <w:rFonts w:eastAsia="Times New Roman"/>
          <w:sz w:val="27"/>
          <w:szCs w:val="27"/>
        </w:rPr>
        <w:t>per  natura</w:t>
      </w:r>
      <w:proofErr w:type="gramEnd"/>
      <w:r w:rsidR="006714B1">
        <w:rPr>
          <w:rFonts w:eastAsia="Times New Roman"/>
          <w:sz w:val="27"/>
          <w:szCs w:val="27"/>
        </w:rPr>
        <w:t>.</w:t>
      </w:r>
    </w:p>
    <w:p w14:paraId="381DA37C" w14:textId="77777777" w:rsidR="00E37232" w:rsidRDefault="006714B1" w:rsidP="00E37232">
      <w:pPr>
        <w:pStyle w:val="NormaleWeb"/>
        <w:pBdr>
          <w:bottom w:val="single" w:sz="6" w:space="1" w:color="auto"/>
        </w:pBdr>
        <w:spacing w:after="0" w:afterAutospacing="0"/>
        <w:rPr>
          <w:rFonts w:ascii="Arial" w:hAnsi="Arial" w:cs="Arial"/>
          <w:color w:val="000000"/>
          <w:sz w:val="20"/>
          <w:szCs w:val="20"/>
        </w:rPr>
      </w:pPr>
      <w:r>
        <w:rPr>
          <w:rFonts w:eastAsia="Times New Roman"/>
          <w:sz w:val="27"/>
          <w:szCs w:val="27"/>
        </w:rPr>
        <w:lastRenderedPageBreak/>
        <w:t xml:space="preserve">Diversamente da quanto accade per la </w:t>
      </w:r>
      <w:r w:rsidRPr="006714B1">
        <w:rPr>
          <w:rFonts w:eastAsia="Times New Roman"/>
          <w:b/>
          <w:bCs/>
          <w:sz w:val="27"/>
          <w:szCs w:val="27"/>
          <w:highlight w:val="yellow"/>
        </w:rPr>
        <w:t>cessione effettuata dall'impresa costruttrice</w:t>
      </w:r>
      <w:r>
        <w:rPr>
          <w:rFonts w:eastAsia="Times New Roman"/>
          <w:sz w:val="27"/>
          <w:szCs w:val="27"/>
        </w:rPr>
        <w:t>,</w:t>
      </w:r>
      <w:r>
        <w:rPr>
          <w:rFonts w:eastAsia="Times New Roman"/>
          <w:sz w:val="27"/>
          <w:szCs w:val="27"/>
        </w:rPr>
        <w:br/>
        <w:t xml:space="preserve">ammessa all'opzione, decorso il quinquennio dalla ultimazione, sia per gli abitativi </w:t>
      </w:r>
      <w:r>
        <w:rPr>
          <w:rFonts w:eastAsia="Times New Roman"/>
          <w:sz w:val="27"/>
          <w:szCs w:val="27"/>
        </w:rPr>
        <w:br/>
        <w:t>che per gli strumentali per natura.</w:t>
      </w:r>
    </w:p>
    <w:p w14:paraId="23A4DDAC" w14:textId="77777777" w:rsidR="00E37232" w:rsidRDefault="006714B1" w:rsidP="00E37232">
      <w:pPr>
        <w:pStyle w:val="NormaleWeb"/>
        <w:pBdr>
          <w:bottom w:val="single" w:sz="6" w:space="1" w:color="auto"/>
        </w:pBdr>
        <w:spacing w:after="0" w:afterAutospacing="0"/>
        <w:rPr>
          <w:rFonts w:ascii="Arial" w:hAnsi="Arial" w:cs="Arial"/>
          <w:color w:val="000000"/>
          <w:sz w:val="20"/>
          <w:szCs w:val="20"/>
        </w:rPr>
      </w:pPr>
      <w:r w:rsidRPr="006714B1">
        <w:rPr>
          <w:rFonts w:eastAsia="Times New Roman"/>
          <w:sz w:val="27"/>
          <w:szCs w:val="27"/>
          <w:highlight w:val="yellow"/>
        </w:rPr>
        <w:t>In tal caso, come hai ben ricordato, la coesistenza tra opzione Iva e destinazione</w:t>
      </w:r>
      <w:r w:rsidRPr="006714B1">
        <w:rPr>
          <w:rFonts w:eastAsia="Times New Roman"/>
          <w:sz w:val="27"/>
          <w:szCs w:val="27"/>
          <w:highlight w:val="yellow"/>
        </w:rPr>
        <w:br/>
        <w:t>pertinenziale consentono all'acquirente di corrispondere le ipotecarie e catastali</w:t>
      </w:r>
      <w:r w:rsidRPr="006714B1">
        <w:rPr>
          <w:rFonts w:eastAsia="Times New Roman"/>
          <w:sz w:val="27"/>
          <w:szCs w:val="27"/>
          <w:highlight w:val="yellow"/>
        </w:rPr>
        <w:br/>
        <w:t>in misura fissa anziché rinforzata</w:t>
      </w:r>
      <w:r>
        <w:rPr>
          <w:rFonts w:eastAsia="Times New Roman"/>
          <w:sz w:val="27"/>
          <w:szCs w:val="27"/>
        </w:rPr>
        <w:t xml:space="preserve">. </w:t>
      </w:r>
    </w:p>
    <w:p w14:paraId="7013C20A" w14:textId="77777777" w:rsidR="00E37232" w:rsidRDefault="006714B1" w:rsidP="00E37232">
      <w:pPr>
        <w:pStyle w:val="NormaleWeb"/>
        <w:pBdr>
          <w:bottom w:val="single" w:sz="6" w:space="1" w:color="auto"/>
        </w:pBdr>
        <w:spacing w:after="0" w:afterAutospacing="0"/>
        <w:rPr>
          <w:rFonts w:ascii="Arial" w:hAnsi="Arial" w:cs="Arial"/>
          <w:color w:val="000000"/>
          <w:sz w:val="20"/>
          <w:szCs w:val="20"/>
        </w:rPr>
      </w:pPr>
      <w:r>
        <w:rPr>
          <w:rFonts w:eastAsia="Times New Roman"/>
          <w:sz w:val="27"/>
          <w:szCs w:val="27"/>
        </w:rPr>
        <w:t xml:space="preserve">Nella specie, la tassazione voluta dall'AE sembra pertanto coerente con la sua </w:t>
      </w:r>
      <w:r>
        <w:rPr>
          <w:rFonts w:eastAsia="Times New Roman"/>
          <w:sz w:val="27"/>
          <w:szCs w:val="27"/>
        </w:rPr>
        <w:br/>
        <w:t xml:space="preserve">scelta di conferire rilevanza alla destinazione pertinenziale che, per quanto sopra, </w:t>
      </w:r>
      <w:r>
        <w:rPr>
          <w:rFonts w:eastAsia="Times New Roman"/>
          <w:sz w:val="27"/>
          <w:szCs w:val="27"/>
        </w:rPr>
        <w:br/>
        <w:t xml:space="preserve">ha determinato il ri-collocamento della cessione nell'ambito delle cessioni "non </w:t>
      </w:r>
      <w:r>
        <w:rPr>
          <w:rFonts w:eastAsia="Times New Roman"/>
          <w:sz w:val="27"/>
          <w:szCs w:val="27"/>
        </w:rPr>
        <w:br/>
        <w:t>soggette a Iva".</w:t>
      </w:r>
    </w:p>
    <w:p w14:paraId="6F59E899" w14:textId="50733DB9" w:rsidR="006714B1" w:rsidRPr="00E37232" w:rsidRDefault="006714B1" w:rsidP="00E37232">
      <w:pPr>
        <w:pStyle w:val="NormaleWeb"/>
        <w:pBdr>
          <w:bottom w:val="single" w:sz="6" w:space="1" w:color="auto"/>
        </w:pBdr>
        <w:spacing w:after="0" w:afterAutospacing="0"/>
        <w:rPr>
          <w:rFonts w:ascii="Arial" w:hAnsi="Arial" w:cs="Arial"/>
          <w:color w:val="000000"/>
          <w:sz w:val="20"/>
          <w:szCs w:val="20"/>
        </w:rPr>
      </w:pPr>
      <w:r>
        <w:rPr>
          <w:rFonts w:eastAsia="Times New Roman"/>
          <w:sz w:val="27"/>
          <w:szCs w:val="27"/>
        </w:rPr>
        <w:t>La tassazione operata dal collega, invece, è stata, a mio avviso, incoerente.</w:t>
      </w:r>
      <w:r>
        <w:rPr>
          <w:rFonts w:eastAsia="Times New Roman"/>
          <w:sz w:val="27"/>
          <w:szCs w:val="27"/>
        </w:rPr>
        <w:br/>
      </w:r>
      <w:r>
        <w:rPr>
          <w:rFonts w:eastAsia="Times New Roman"/>
          <w:sz w:val="27"/>
          <w:szCs w:val="27"/>
        </w:rPr>
        <w:br/>
        <w:t xml:space="preserve">Cioé, se avesse ritenuto che tra le due opzioni prevalesse quella dell'impresa </w:t>
      </w:r>
      <w:r>
        <w:rPr>
          <w:rFonts w:eastAsia="Times New Roman"/>
          <w:sz w:val="27"/>
          <w:szCs w:val="27"/>
        </w:rPr>
        <w:br/>
        <w:t>cedente, avrebbe dovuto tassare, come detto nel prec</w:t>
      </w:r>
      <w:r>
        <w:rPr>
          <w:rFonts w:eastAsia="Times New Roman"/>
          <w:sz w:val="27"/>
          <w:szCs w:val="27"/>
        </w:rPr>
        <w:t>e</w:t>
      </w:r>
      <w:r>
        <w:rPr>
          <w:rFonts w:eastAsia="Times New Roman"/>
          <w:sz w:val="27"/>
          <w:szCs w:val="27"/>
        </w:rPr>
        <w:t xml:space="preserve">dente messaggio, la cessione </w:t>
      </w:r>
      <w:r>
        <w:rPr>
          <w:rFonts w:eastAsia="Times New Roman"/>
          <w:sz w:val="27"/>
          <w:szCs w:val="27"/>
        </w:rPr>
        <w:br/>
        <w:t xml:space="preserve">(avente ad oggetto un immobile strumentale per natura) con imposta di registro in </w:t>
      </w:r>
      <w:r>
        <w:rPr>
          <w:rFonts w:eastAsia="Times New Roman"/>
          <w:sz w:val="27"/>
          <w:szCs w:val="27"/>
        </w:rPr>
        <w:br/>
        <w:t>misura fissa e imposte ipotecaria e catastale del 3 e 1 per cento.</w:t>
      </w:r>
      <w:r>
        <w:rPr>
          <w:rFonts w:eastAsia="Times New Roman"/>
          <w:sz w:val="27"/>
          <w:szCs w:val="27"/>
        </w:rPr>
        <w:br/>
      </w:r>
      <w:r>
        <w:rPr>
          <w:rFonts w:eastAsia="Times New Roman"/>
          <w:sz w:val="27"/>
          <w:szCs w:val="27"/>
        </w:rPr>
        <w:br/>
        <w:t xml:space="preserve">Insomma sarebbe opportuno far risolvere il conflitto alle parti prima dell'atto e non </w:t>
      </w:r>
      <w:r>
        <w:rPr>
          <w:rFonts w:eastAsia="Times New Roman"/>
          <w:sz w:val="27"/>
          <w:szCs w:val="27"/>
        </w:rPr>
        <w:br/>
        <w:t>all'AE in sede di registrazione.</w:t>
      </w:r>
    </w:p>
    <w:p w14:paraId="63D09CC3" w14:textId="233E0F09" w:rsidR="006714B1" w:rsidRDefault="006714B1" w:rsidP="006714B1">
      <w:pPr>
        <w:pStyle w:val="NormaleWeb"/>
        <w:spacing w:after="240" w:afterAutospacing="0"/>
        <w:rPr>
          <w:rFonts w:eastAsia="Times New Roman"/>
          <w:sz w:val="27"/>
          <w:szCs w:val="27"/>
        </w:rPr>
      </w:pPr>
      <w:r>
        <w:rPr>
          <w:rFonts w:ascii="Arial" w:hAnsi="Arial" w:cs="Arial"/>
          <w:color w:val="000000"/>
          <w:sz w:val="20"/>
          <w:szCs w:val="20"/>
        </w:rPr>
        <w:t>Chiarissimo. </w:t>
      </w:r>
      <w:proofErr w:type="gramStart"/>
      <w:r>
        <w:rPr>
          <w:rFonts w:ascii="Arial" w:hAnsi="Arial" w:cs="Arial"/>
          <w:color w:val="000000"/>
          <w:sz w:val="20"/>
          <w:szCs w:val="20"/>
        </w:rPr>
        <w:t>Insomma</w:t>
      </w:r>
      <w:proofErr w:type="gramEnd"/>
      <w:r>
        <w:rPr>
          <w:rFonts w:ascii="Arial" w:hAnsi="Arial" w:cs="Arial"/>
          <w:color w:val="000000"/>
          <w:sz w:val="20"/>
          <w:szCs w:val="20"/>
        </w:rPr>
        <w:t xml:space="preserve"> non bisogna dimenticare gli effetti dell'attrazione della pertinenza al regime della cosa principale. </w:t>
      </w:r>
      <w:r>
        <w:rPr>
          <w:rFonts w:ascii="Arial" w:hAnsi="Arial" w:cs="Arial"/>
          <w:color w:val="000000"/>
          <w:sz w:val="20"/>
          <w:szCs w:val="20"/>
        </w:rPr>
        <w:br/>
      </w:r>
      <w:r>
        <w:rPr>
          <w:rFonts w:ascii="Arial" w:hAnsi="Arial" w:cs="Arial"/>
          <w:color w:val="000000"/>
          <w:sz w:val="20"/>
          <w:szCs w:val="20"/>
        </w:rPr>
        <w:br/>
        <w:t>Quindi la griglia ulteriore (convivenza) può mantenersi solo con riferimento alla Società costruttrice, date le limitate possibilità concesse alla Società non costruttrice. </w:t>
      </w:r>
      <w:r>
        <w:rPr>
          <w:rFonts w:ascii="Arial" w:hAnsi="Arial" w:cs="Arial"/>
          <w:color w:val="000000"/>
          <w:sz w:val="20"/>
          <w:szCs w:val="20"/>
        </w:rPr>
        <w:br/>
      </w:r>
      <w:r>
        <w:rPr>
          <w:rFonts w:ascii="Arial" w:hAnsi="Arial" w:cs="Arial"/>
          <w:color w:val="000000"/>
          <w:sz w:val="20"/>
          <w:szCs w:val="20"/>
        </w:rPr>
        <w:br/>
        <w:t> Si potrebbe quasi inaugurare una serie (</w:t>
      </w:r>
      <w:proofErr w:type="gramStart"/>
      <w:r>
        <w:rPr>
          <w:rFonts w:ascii="Arial" w:hAnsi="Arial" w:cs="Arial"/>
          <w:color w:val="000000"/>
          <w:sz w:val="20"/>
          <w:szCs w:val="20"/>
        </w:rPr>
        <w:t>a  fumetti</w:t>
      </w:r>
      <w:proofErr w:type="gramEnd"/>
      <w:r>
        <w:rPr>
          <w:rFonts w:ascii="Arial" w:hAnsi="Arial" w:cs="Arial"/>
          <w:color w:val="000000"/>
          <w:sz w:val="20"/>
          <w:szCs w:val="20"/>
        </w:rPr>
        <w:t>/tv) tributaria con oggetti mutanti (pertinenze) e soggetti visitors (società non costruttrici che invadono il pianeta opzione IVA solo se vi ...atterrano con beni strumentali).</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p>
    <w:p w14:paraId="5B9A87CA" w14:textId="42FC97D7" w:rsidR="006714B1" w:rsidRDefault="006714B1" w:rsidP="006714B1">
      <w:pPr>
        <w:pStyle w:val="NormaleWeb"/>
        <w:spacing w:after="240" w:afterAutospacing="0"/>
        <w:rPr>
          <w:rFonts w:ascii="Arial" w:hAnsi="Arial" w:cs="Arial"/>
          <w:color w:val="000000"/>
          <w:sz w:val="20"/>
          <w:szCs w:val="20"/>
        </w:rPr>
      </w:pPr>
      <w:r>
        <w:rPr>
          <w:rFonts w:eastAsia="Times New Roman"/>
          <w:sz w:val="27"/>
          <w:szCs w:val="27"/>
        </w:rPr>
        <w:br/>
      </w:r>
    </w:p>
    <w:p w14:paraId="02E34FC9" w14:textId="77777777" w:rsidR="006714B1" w:rsidRDefault="006714B1" w:rsidP="006714B1">
      <w:pPr>
        <w:pStyle w:val="NormaleWeb"/>
        <w:spacing w:after="240" w:afterAutospacing="0"/>
        <w:rPr>
          <w:rFonts w:ascii="Arial" w:hAnsi="Arial" w:cs="Arial"/>
          <w:color w:val="000000"/>
          <w:sz w:val="20"/>
          <w:szCs w:val="20"/>
        </w:rPr>
      </w:pPr>
    </w:p>
    <w:p w14:paraId="0B62252E" w14:textId="77777777" w:rsidR="006714B1" w:rsidRDefault="006714B1" w:rsidP="006714B1">
      <w:pPr>
        <w:pStyle w:val="NormaleWeb"/>
        <w:spacing w:after="240" w:afterAutospacing="0"/>
        <w:rPr>
          <w:rFonts w:ascii="Arial" w:hAnsi="Arial" w:cs="Arial"/>
          <w:color w:val="000000"/>
          <w:sz w:val="20"/>
          <w:szCs w:val="20"/>
        </w:rPr>
      </w:pPr>
    </w:p>
    <w:p w14:paraId="1058CFA7"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B1"/>
    <w:rsid w:val="00014316"/>
    <w:rsid w:val="00037637"/>
    <w:rsid w:val="000542C1"/>
    <w:rsid w:val="00075DBA"/>
    <w:rsid w:val="00081622"/>
    <w:rsid w:val="000C59F3"/>
    <w:rsid w:val="001328BE"/>
    <w:rsid w:val="00142457"/>
    <w:rsid w:val="00144128"/>
    <w:rsid w:val="00153990"/>
    <w:rsid w:val="00172BF1"/>
    <w:rsid w:val="001941A3"/>
    <w:rsid w:val="00194B06"/>
    <w:rsid w:val="001B7A94"/>
    <w:rsid w:val="001C4CB8"/>
    <w:rsid w:val="001C719E"/>
    <w:rsid w:val="00232710"/>
    <w:rsid w:val="002401B0"/>
    <w:rsid w:val="002755FC"/>
    <w:rsid w:val="002A3ED2"/>
    <w:rsid w:val="002B3C01"/>
    <w:rsid w:val="0030124E"/>
    <w:rsid w:val="00332622"/>
    <w:rsid w:val="0037214E"/>
    <w:rsid w:val="003D4EEB"/>
    <w:rsid w:val="003E41ED"/>
    <w:rsid w:val="003F0D0F"/>
    <w:rsid w:val="003F1AA9"/>
    <w:rsid w:val="004A2B25"/>
    <w:rsid w:val="0050489F"/>
    <w:rsid w:val="005D3BCF"/>
    <w:rsid w:val="006252EF"/>
    <w:rsid w:val="00644492"/>
    <w:rsid w:val="006714B1"/>
    <w:rsid w:val="0069328C"/>
    <w:rsid w:val="006E7B40"/>
    <w:rsid w:val="006F6067"/>
    <w:rsid w:val="00715668"/>
    <w:rsid w:val="007426A0"/>
    <w:rsid w:val="00780DC6"/>
    <w:rsid w:val="007D597D"/>
    <w:rsid w:val="007E1698"/>
    <w:rsid w:val="008143A3"/>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37232"/>
    <w:rsid w:val="00E75B38"/>
    <w:rsid w:val="00E92C3E"/>
    <w:rsid w:val="00E957CA"/>
    <w:rsid w:val="00F62FF5"/>
    <w:rsid w:val="00F678E3"/>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11E00"/>
  <w15:chartTrackingRefBased/>
  <w15:docId w15:val="{79DD85BF-0252-4F6F-B993-81D375ED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714B1"/>
    <w:rPr>
      <w:rFonts w:ascii="Calibri" w:eastAsiaTheme="minorHAnsi" w:hAnsi="Calibri"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714B1"/>
    <w:pPr>
      <w:spacing w:before="100" w:beforeAutospacing="1" w:after="100" w:afterAutospacing="1"/>
    </w:pPr>
  </w:style>
  <w:style w:type="character" w:styleId="Enfasigrassetto">
    <w:name w:val="Strong"/>
    <w:basedOn w:val="Carpredefinitoparagrafo"/>
    <w:uiPriority w:val="22"/>
    <w:qFormat/>
    <w:rsid w:val="00671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000484">
      <w:bodyDiv w:val="1"/>
      <w:marLeft w:val="0"/>
      <w:marRight w:val="0"/>
      <w:marTop w:val="0"/>
      <w:marBottom w:val="0"/>
      <w:divBdr>
        <w:top w:val="none" w:sz="0" w:space="0" w:color="auto"/>
        <w:left w:val="none" w:sz="0" w:space="0" w:color="auto"/>
        <w:bottom w:val="none" w:sz="0" w:space="0" w:color="auto"/>
        <w:right w:val="none" w:sz="0" w:space="0" w:color="auto"/>
      </w:divBdr>
    </w:div>
    <w:div w:id="18531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ODELLI\RRword.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RRword.dotm</Template>
  <TotalTime>29</TotalTime>
  <Pages>3</Pages>
  <Words>871</Words>
  <Characters>5300</Characters>
  <Application>Microsoft Office Word</Application>
  <DocSecurity>0</DocSecurity>
  <Lines>44</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8</cp:revision>
  <dcterms:created xsi:type="dcterms:W3CDTF">2020-10-06T15:16:00Z</dcterms:created>
  <dcterms:modified xsi:type="dcterms:W3CDTF">2020-10-06T15:46:00Z</dcterms:modified>
</cp:coreProperties>
</file>