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D8" w:rsidRPr="009412D0" w:rsidRDefault="00D940D8" w:rsidP="00D940D8">
      <w:pPr>
        <w:widowControl w:val="0"/>
        <w:ind w:firstLine="0"/>
        <w:rPr>
          <w:rFonts w:ascii="Calibri" w:hAnsi="Calibri" w:cs="Arial"/>
          <w:b/>
          <w:color w:val="002060"/>
          <w:sz w:val="32"/>
          <w:szCs w:val="20"/>
        </w:rPr>
      </w:pPr>
      <w:r w:rsidRPr="009412D0">
        <w:rPr>
          <w:rFonts w:ascii="Calibri" w:hAnsi="Calibri" w:cs="Arial"/>
          <w:b/>
          <w:color w:val="002060"/>
          <w:sz w:val="24"/>
          <w:szCs w:val="20"/>
        </w:rPr>
        <w:t>Segnalazioni Novità Giurisprudenziali</w:t>
      </w:r>
    </w:p>
    <w:p w:rsidR="00D940D8" w:rsidRPr="009412D0" w:rsidRDefault="00D940D8" w:rsidP="00D940D8">
      <w:pPr>
        <w:widowControl w:val="0"/>
        <w:spacing w:line="240" w:lineRule="auto"/>
        <w:ind w:firstLine="0"/>
        <w:rPr>
          <w:rFonts w:ascii="Calibri" w:hAnsi="Calibri" w:cs="Arial"/>
          <w:b/>
          <w:color w:val="002060"/>
          <w:sz w:val="24"/>
          <w:szCs w:val="20"/>
        </w:rPr>
      </w:pPr>
    </w:p>
    <w:p w:rsidR="00D940D8" w:rsidRPr="009412D0" w:rsidRDefault="00D940D8" w:rsidP="00D940D8">
      <w:pPr>
        <w:widowControl w:val="0"/>
        <w:spacing w:line="240" w:lineRule="auto"/>
        <w:ind w:firstLine="0"/>
        <w:rPr>
          <w:rFonts w:ascii="Calibri" w:hAnsi="Calibri" w:cs="Arial"/>
          <w:b/>
          <w:color w:val="002060"/>
          <w:sz w:val="24"/>
          <w:szCs w:val="20"/>
        </w:rPr>
      </w:pPr>
    </w:p>
    <w:p w:rsidR="00D940D8" w:rsidRPr="009412D0" w:rsidRDefault="00D940D8" w:rsidP="00D940D8">
      <w:pPr>
        <w:widowControl w:val="0"/>
        <w:spacing w:line="276" w:lineRule="auto"/>
        <w:ind w:firstLine="0"/>
        <w:rPr>
          <w:rFonts w:ascii="Calibri" w:hAnsi="Calibri" w:cs="Calibri"/>
          <w:b/>
          <w:bCs/>
          <w:color w:val="002060"/>
          <w:sz w:val="28"/>
          <w:szCs w:val="24"/>
        </w:rPr>
      </w:pPr>
      <w:r w:rsidRPr="009412D0">
        <w:rPr>
          <w:rFonts w:ascii="Calibri" w:hAnsi="Calibri" w:cs="Calibri"/>
          <w:b/>
          <w:bCs/>
          <w:color w:val="002060"/>
          <w:sz w:val="28"/>
          <w:szCs w:val="24"/>
        </w:rPr>
        <w:t>L’ACCETTAZIONE DELLA CESSIONE DEL CREDITO DA PARTE DEL DEBITO CEDUTO NON EQUIVALE A RICONOSCIMENTO TACITO DEL DEBITO. La recente sentenza della Corte di Cassazione, 18 febbraio 2016, n. 3184</w:t>
      </w:r>
    </w:p>
    <w:p w:rsidR="00D940D8" w:rsidRPr="009412D0" w:rsidRDefault="00D940D8" w:rsidP="00D940D8">
      <w:pPr>
        <w:widowControl w:val="0"/>
        <w:spacing w:line="276" w:lineRule="auto"/>
        <w:rPr>
          <w:rFonts w:ascii="Calibri" w:hAnsi="Calibri" w:cs="Calibri"/>
          <w:b/>
          <w:bCs/>
          <w:color w:val="002060"/>
          <w:sz w:val="28"/>
          <w:szCs w:val="24"/>
        </w:rPr>
      </w:pPr>
    </w:p>
    <w:p w:rsidR="00D940D8" w:rsidRPr="009412D0" w:rsidRDefault="00D940D8" w:rsidP="00D940D8">
      <w:pPr>
        <w:widowControl w:val="0"/>
        <w:spacing w:line="276" w:lineRule="auto"/>
        <w:rPr>
          <w:rFonts w:ascii="Calibri" w:hAnsi="Calibri" w:cs="Calibri"/>
          <w:b/>
          <w:bCs/>
          <w:color w:val="002060"/>
          <w:sz w:val="24"/>
          <w:szCs w:val="24"/>
        </w:rPr>
      </w:pPr>
    </w:p>
    <w:p w:rsidR="00D940D8" w:rsidRPr="009412D0" w:rsidRDefault="00D940D8" w:rsidP="00D940D8">
      <w:pPr>
        <w:spacing w:line="320" w:lineRule="atLeast"/>
        <w:rPr>
          <w:rFonts w:ascii="Calibri" w:hAnsi="Calibri" w:cs="Calibri"/>
          <w:b/>
          <w:color w:val="002060"/>
          <w:sz w:val="24"/>
          <w:szCs w:val="24"/>
        </w:rPr>
      </w:pPr>
      <w:r w:rsidRPr="009412D0">
        <w:rPr>
          <w:rFonts w:ascii="Calibri" w:hAnsi="Calibri" w:cs="Calibri"/>
          <w:b/>
          <w:color w:val="002060"/>
          <w:sz w:val="24"/>
          <w:szCs w:val="24"/>
        </w:rPr>
        <w:t>Premessa</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La Corte di Cassazione, con la recente sentenza del 18 febbraio 2016, n. 3184</w:t>
      </w:r>
      <w:r w:rsidRPr="009412D0">
        <w:rPr>
          <w:rFonts w:ascii="Calibri" w:hAnsi="Calibri" w:cs="Calibri"/>
          <w:b/>
          <w:color w:val="002060"/>
          <w:sz w:val="24"/>
          <w:szCs w:val="24"/>
          <w:vertAlign w:val="superscript"/>
        </w:rPr>
        <w:t xml:space="preserve"> (1)</w:t>
      </w:r>
      <w:r w:rsidRPr="009412D0">
        <w:rPr>
          <w:rFonts w:ascii="Calibri" w:hAnsi="Calibri" w:cs="Calibri"/>
          <w:color w:val="002060"/>
          <w:sz w:val="24"/>
          <w:szCs w:val="24"/>
        </w:rPr>
        <w:t xml:space="preserve">, si è pronunciata, tra l’altro, riguardo al valore giuridico della </w:t>
      </w:r>
      <w:bookmarkStart w:id="0" w:name="_GoBack"/>
      <w:r w:rsidRPr="009412D0">
        <w:rPr>
          <w:rFonts w:ascii="Calibri" w:hAnsi="Calibri" w:cs="Calibri"/>
          <w:color w:val="002060"/>
          <w:sz w:val="24"/>
          <w:szCs w:val="24"/>
        </w:rPr>
        <w:t>accettazione della cessione del credito da parte del debitore ceduto</w:t>
      </w:r>
      <w:bookmarkEnd w:id="0"/>
      <w:r w:rsidRPr="009412D0">
        <w:rPr>
          <w:rFonts w:ascii="Calibri" w:hAnsi="Calibri" w:cs="Calibri"/>
          <w:color w:val="002060"/>
          <w:sz w:val="24"/>
          <w:szCs w:val="24"/>
        </w:rPr>
        <w:t xml:space="preserve"> (</w:t>
      </w:r>
      <w:r w:rsidRPr="009412D0">
        <w:rPr>
          <w:rFonts w:ascii="Calibri" w:hAnsi="Calibri" w:cs="Calibri"/>
          <w:i/>
          <w:color w:val="002060"/>
          <w:sz w:val="24"/>
          <w:szCs w:val="24"/>
        </w:rPr>
        <w:t xml:space="preserve">ex </w:t>
      </w:r>
      <w:r w:rsidRPr="009412D0">
        <w:rPr>
          <w:rFonts w:ascii="Calibri" w:hAnsi="Calibri" w:cs="Calibri"/>
          <w:color w:val="002060"/>
          <w:sz w:val="24"/>
          <w:szCs w:val="24"/>
        </w:rPr>
        <w:t xml:space="preserve">art. 1264 c.c.). </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Come è noto, al riguardo, è dubbio «se l’accettazione del debitore configuri una dichiarazione di scienza, un riconoscimento di debito o una presa di conoscenza dell’avvenuta cessione»</w:t>
      </w:r>
      <w:r w:rsidRPr="009412D0">
        <w:rPr>
          <w:rFonts w:ascii="Calibri" w:hAnsi="Calibri" w:cs="Calibri"/>
          <w:b/>
          <w:color w:val="002060"/>
          <w:sz w:val="24"/>
          <w:szCs w:val="24"/>
          <w:vertAlign w:val="superscript"/>
        </w:rPr>
        <w:t xml:space="preserve"> (2)</w:t>
      </w:r>
      <w:r w:rsidRPr="009412D0">
        <w:rPr>
          <w:rFonts w:ascii="Calibri" w:hAnsi="Calibri" w:cs="Calibri"/>
          <w:color w:val="002060"/>
          <w:sz w:val="24"/>
          <w:szCs w:val="24"/>
        </w:rPr>
        <w:t>. Altrettanto note «sono le ricadute pratiche delle diverse qualificazioni proposte, diversamente graduate a seconda della soluzione prescelta. Mentre la presa d’atto del terzo indifferente non comporterebbe altra conseguenza che l’efficacia della cessione nei confronti del debitore e, sussistendo la data certa, dei terzi, ai sensi degli articoli 1264, 1265 e delle altre previsioni che contemplano l’accettazione della cessione, il riconoscimento del debito produrrebbe anche l’astrazione processuale e, cioè, l’inversione dell’onere della prova ai sensi dell’art. 1988, essendo il cessionario esentato dalla prova del diritto vantato e ricadendo sul debitore l’onere di provare, eventualmente, l’invalidità del titolo</w:t>
      </w:r>
      <w:r w:rsidRPr="009412D0">
        <w:rPr>
          <w:rFonts w:ascii="Calibri" w:hAnsi="Calibri" w:cs="Calibri"/>
          <w:b/>
          <w:color w:val="002060"/>
          <w:sz w:val="24"/>
          <w:szCs w:val="24"/>
          <w:vertAlign w:val="superscript"/>
        </w:rPr>
        <w:t xml:space="preserve"> (3)</w:t>
      </w:r>
      <w:r w:rsidRPr="009412D0">
        <w:rPr>
          <w:rFonts w:ascii="Calibri" w:hAnsi="Calibri" w:cs="Calibri"/>
          <w:color w:val="002060"/>
          <w:sz w:val="24"/>
          <w:szCs w:val="24"/>
        </w:rPr>
        <w:t xml:space="preserve"> ».</w:t>
      </w:r>
    </w:p>
    <w:p w:rsidR="00D940D8" w:rsidRPr="009412D0" w:rsidRDefault="00D940D8" w:rsidP="00D940D8">
      <w:pPr>
        <w:spacing w:line="320" w:lineRule="atLeast"/>
        <w:rPr>
          <w:rFonts w:ascii="Calibri" w:hAnsi="Calibri" w:cs="Calibri"/>
          <w:i/>
          <w:color w:val="002060"/>
          <w:sz w:val="24"/>
          <w:szCs w:val="24"/>
        </w:rPr>
      </w:pPr>
      <w:r w:rsidRPr="009412D0">
        <w:rPr>
          <w:rFonts w:ascii="Calibri" w:hAnsi="Calibri" w:cs="Calibri"/>
          <w:color w:val="002060"/>
          <w:sz w:val="24"/>
          <w:szCs w:val="24"/>
        </w:rPr>
        <w:t>Per questa ragione, prima di riferire l’orientamento della Corte di Cassazione in commento, si è ritenuto opportuno ricostruire brevemente, senza pretesa di esaustività, gli orientamenti dottrinari in materia.</w:t>
      </w:r>
    </w:p>
    <w:p w:rsidR="00D940D8" w:rsidRPr="009412D0" w:rsidRDefault="00D940D8" w:rsidP="00D940D8">
      <w:pPr>
        <w:spacing w:line="320" w:lineRule="atLeast"/>
        <w:rPr>
          <w:rFonts w:ascii="Calibri" w:hAnsi="Calibri" w:cs="Calibri"/>
          <w:i/>
          <w:color w:val="002060"/>
          <w:sz w:val="24"/>
          <w:szCs w:val="24"/>
        </w:rPr>
      </w:pPr>
    </w:p>
    <w:p w:rsidR="00D940D8" w:rsidRPr="009412D0" w:rsidRDefault="00D940D8" w:rsidP="00D940D8">
      <w:pPr>
        <w:spacing w:line="320" w:lineRule="atLeast"/>
        <w:rPr>
          <w:rFonts w:ascii="Calibri" w:hAnsi="Calibri" w:cs="Calibri"/>
          <w:b/>
          <w:color w:val="002060"/>
          <w:sz w:val="24"/>
          <w:szCs w:val="24"/>
        </w:rPr>
      </w:pPr>
      <w:r w:rsidRPr="009412D0">
        <w:rPr>
          <w:rFonts w:ascii="Calibri" w:hAnsi="Calibri" w:cs="Calibri"/>
          <w:b/>
          <w:color w:val="002060"/>
          <w:sz w:val="24"/>
          <w:szCs w:val="24"/>
        </w:rPr>
        <w:t>2. Gli orientamenti dottrinari</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Come anticipato in premessa, la dottrina, riguardo alla valenza dell’accettazione della cessione del credito da parte del debitore ceduto, è divisa in diversi indirizzi. Di seguito se ne riportano, in estrema sintesi, i principali.</w:t>
      </w:r>
    </w:p>
    <w:p w:rsidR="00D940D8" w:rsidRPr="009412D0" w:rsidRDefault="00D940D8" w:rsidP="00D940D8">
      <w:pPr>
        <w:spacing w:line="320" w:lineRule="atLeast"/>
        <w:rPr>
          <w:rFonts w:ascii="Calibri" w:hAnsi="Calibri" w:cs="Calibri"/>
          <w:b/>
          <w:color w:val="002060"/>
          <w:sz w:val="24"/>
          <w:szCs w:val="24"/>
        </w:rPr>
      </w:pPr>
    </w:p>
    <w:p w:rsidR="00D940D8" w:rsidRPr="009412D0" w:rsidRDefault="00D940D8" w:rsidP="00D940D8">
      <w:pPr>
        <w:spacing w:line="320" w:lineRule="atLeast"/>
        <w:rPr>
          <w:rFonts w:ascii="Calibri" w:hAnsi="Calibri" w:cs="Calibri"/>
          <w:b/>
          <w:color w:val="002060"/>
          <w:sz w:val="24"/>
          <w:szCs w:val="24"/>
        </w:rPr>
      </w:pPr>
      <w:r w:rsidRPr="009412D0">
        <w:rPr>
          <w:rFonts w:ascii="Calibri" w:hAnsi="Calibri" w:cs="Calibri"/>
          <w:b/>
          <w:color w:val="002060"/>
          <w:sz w:val="24"/>
          <w:szCs w:val="24"/>
        </w:rPr>
        <w:t>- tesi del riconoscimento tacito del debito -</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Secondo un primo indirizzo, l’accettazione non è una semplice dichiarazione di scienza ma «integra piuttosto un riconoscimento del debito verso il nuovo creditore»</w:t>
      </w:r>
      <w:r w:rsidRPr="009412D0">
        <w:rPr>
          <w:rFonts w:ascii="Calibri" w:hAnsi="Calibri" w:cs="Calibri"/>
          <w:b/>
          <w:color w:val="002060"/>
          <w:sz w:val="24"/>
          <w:szCs w:val="24"/>
          <w:vertAlign w:val="superscript"/>
        </w:rPr>
        <w:t xml:space="preserve"> (4)</w:t>
      </w:r>
      <w:r w:rsidRPr="009412D0">
        <w:rPr>
          <w:rFonts w:ascii="Calibri" w:hAnsi="Calibri" w:cs="Calibri"/>
          <w:color w:val="002060"/>
          <w:sz w:val="24"/>
          <w:szCs w:val="24"/>
        </w:rPr>
        <w:t>. Pertanto, stando a tale orientamento, nel caso «in cui il debitore ceduto dovesse intervenire alla stipulazione tra cedente e cessionario al fine di accettare la cessione, si ritiene che la cessione del credito non perda la natura di negozio bilaterale: tale accettazione integrerebbe soltanto un riconoscimento di debito verso il nuovo creditore»</w:t>
      </w:r>
      <w:r w:rsidRPr="009412D0">
        <w:rPr>
          <w:rFonts w:ascii="Calibri" w:hAnsi="Calibri" w:cs="Calibri"/>
          <w:b/>
          <w:color w:val="002060"/>
          <w:sz w:val="24"/>
          <w:szCs w:val="24"/>
          <w:vertAlign w:val="superscript"/>
        </w:rPr>
        <w:t xml:space="preserve"> (5)</w:t>
      </w:r>
      <w:r w:rsidRPr="009412D0">
        <w:rPr>
          <w:rFonts w:ascii="Calibri" w:hAnsi="Calibri" w:cs="Calibri"/>
          <w:color w:val="002060"/>
          <w:sz w:val="24"/>
          <w:szCs w:val="24"/>
        </w:rPr>
        <w:t>.</w:t>
      </w:r>
    </w:p>
    <w:p w:rsidR="00D940D8" w:rsidRPr="009412D0" w:rsidRDefault="00D940D8" w:rsidP="00D940D8">
      <w:pPr>
        <w:spacing w:line="320" w:lineRule="atLeast"/>
        <w:rPr>
          <w:rFonts w:ascii="Calibri" w:hAnsi="Calibri" w:cs="Calibri"/>
          <w:color w:val="002060"/>
          <w:sz w:val="24"/>
          <w:szCs w:val="24"/>
        </w:rPr>
      </w:pPr>
    </w:p>
    <w:p w:rsidR="00D940D8" w:rsidRPr="009412D0" w:rsidRDefault="00D940D8" w:rsidP="00D940D8">
      <w:pPr>
        <w:spacing w:line="320" w:lineRule="atLeast"/>
        <w:rPr>
          <w:rFonts w:ascii="Calibri" w:hAnsi="Calibri" w:cs="Calibri"/>
          <w:b/>
          <w:color w:val="002060"/>
          <w:sz w:val="24"/>
          <w:szCs w:val="24"/>
        </w:rPr>
      </w:pPr>
      <w:r w:rsidRPr="009412D0">
        <w:rPr>
          <w:rFonts w:ascii="Calibri" w:hAnsi="Calibri" w:cs="Calibri"/>
          <w:b/>
          <w:color w:val="002060"/>
          <w:sz w:val="24"/>
          <w:szCs w:val="24"/>
        </w:rPr>
        <w:t>- tesi della semplice presa d’atto dell’avvenuta cessione -</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Secondo un diverso orientamento dottrinario</w:t>
      </w:r>
      <w:r w:rsidRPr="009412D0">
        <w:rPr>
          <w:rFonts w:ascii="Calibri" w:hAnsi="Calibri" w:cs="Calibri"/>
          <w:b/>
          <w:color w:val="002060"/>
          <w:sz w:val="24"/>
          <w:szCs w:val="24"/>
          <w:vertAlign w:val="superscript"/>
        </w:rPr>
        <w:t xml:space="preserve"> (6)</w:t>
      </w:r>
      <w:r w:rsidRPr="009412D0">
        <w:rPr>
          <w:rFonts w:ascii="Calibri" w:hAnsi="Calibri" w:cs="Calibri"/>
          <w:color w:val="002060"/>
          <w:sz w:val="24"/>
          <w:szCs w:val="24"/>
        </w:rPr>
        <w:t xml:space="preserve"> «il consenso del debitore ha natura di dichiarazione di scienza, di presa d’atto della cessione, che attiene </w:t>
      </w:r>
      <w:proofErr w:type="gramStart"/>
      <w:r w:rsidRPr="009412D0">
        <w:rPr>
          <w:rFonts w:ascii="Calibri" w:hAnsi="Calibri" w:cs="Calibri"/>
          <w:color w:val="002060"/>
          <w:sz w:val="24"/>
          <w:szCs w:val="24"/>
        </w:rPr>
        <w:t>esclusivamente  all’opponibilità</w:t>
      </w:r>
      <w:proofErr w:type="gramEnd"/>
      <w:r w:rsidRPr="009412D0">
        <w:rPr>
          <w:rFonts w:ascii="Calibri" w:hAnsi="Calibri" w:cs="Calibri"/>
          <w:color w:val="002060"/>
          <w:sz w:val="24"/>
          <w:szCs w:val="24"/>
        </w:rPr>
        <w:t xml:space="preserve"> del negozio al debitore medesimo</w:t>
      </w:r>
      <w:r w:rsidRPr="009412D0">
        <w:rPr>
          <w:rFonts w:ascii="Calibri" w:hAnsi="Calibri" w:cs="Calibri"/>
          <w:b/>
          <w:color w:val="002060"/>
          <w:sz w:val="24"/>
          <w:szCs w:val="24"/>
          <w:vertAlign w:val="superscript"/>
        </w:rPr>
        <w:t xml:space="preserve"> (7)</w:t>
      </w:r>
      <w:r w:rsidRPr="009412D0">
        <w:rPr>
          <w:rFonts w:ascii="Calibri" w:hAnsi="Calibri" w:cs="Calibri"/>
          <w:color w:val="002060"/>
          <w:sz w:val="24"/>
          <w:szCs w:val="24"/>
        </w:rPr>
        <w:t xml:space="preserve"> ».</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lastRenderedPageBreak/>
        <w:t>Tale conclusione è condivisa dalla giurisprudenza di legittimità</w:t>
      </w:r>
      <w:r w:rsidRPr="009412D0">
        <w:rPr>
          <w:rFonts w:ascii="Calibri" w:hAnsi="Calibri" w:cs="Calibri"/>
          <w:b/>
          <w:color w:val="002060"/>
          <w:sz w:val="24"/>
          <w:szCs w:val="24"/>
          <w:vertAlign w:val="superscript"/>
        </w:rPr>
        <w:t xml:space="preserve"> (8)</w:t>
      </w:r>
      <w:r w:rsidRPr="009412D0">
        <w:rPr>
          <w:rFonts w:ascii="Calibri" w:hAnsi="Calibri" w:cs="Calibri"/>
          <w:color w:val="002060"/>
          <w:sz w:val="24"/>
          <w:szCs w:val="24"/>
        </w:rPr>
        <w:t>, la quale «sembra escludere abbastanza decisamente che dall’accettazione della cessione derivi l’effetto principale della ricognizione di debito, previsto dall’art. 1988 c.c., rappresentato dalla cosiddetta astrazione processuale: se effettivamente si fosse in presenza di una ricognizione, infatti, il cessionario sarebbe esonerato dalla prova dell’esistenza del credito, mentre dovrebbe essere il debitore che ha accettato a provarne l’inesistenza o l’estinzione, laddove al contrario, salvo naturalmente che non risulti una diversa volontà delle parti, sul cessionario continua a gravare l’ordinario onere della prova»</w:t>
      </w:r>
      <w:r w:rsidRPr="009412D0">
        <w:rPr>
          <w:rFonts w:ascii="Calibri" w:hAnsi="Calibri" w:cs="Calibri"/>
          <w:b/>
          <w:color w:val="002060"/>
          <w:sz w:val="24"/>
          <w:szCs w:val="24"/>
          <w:vertAlign w:val="superscript"/>
        </w:rPr>
        <w:t xml:space="preserve"> (9)</w:t>
      </w:r>
      <w:r w:rsidRPr="009412D0">
        <w:rPr>
          <w:rFonts w:ascii="Calibri" w:hAnsi="Calibri" w:cs="Calibri"/>
          <w:color w:val="002060"/>
          <w:sz w:val="24"/>
          <w:szCs w:val="24"/>
        </w:rPr>
        <w:t>.</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Fin qui gli orientamenti in campo.</w:t>
      </w:r>
    </w:p>
    <w:p w:rsidR="00D940D8" w:rsidRPr="009412D0" w:rsidRDefault="00D940D8" w:rsidP="00D940D8">
      <w:pPr>
        <w:spacing w:line="320" w:lineRule="atLeast"/>
        <w:rPr>
          <w:rFonts w:ascii="Calibri" w:hAnsi="Calibri" w:cs="Calibri"/>
          <w:color w:val="002060"/>
          <w:sz w:val="24"/>
          <w:szCs w:val="24"/>
        </w:rPr>
      </w:pPr>
    </w:p>
    <w:p w:rsidR="00D940D8" w:rsidRPr="009412D0" w:rsidRDefault="00D940D8" w:rsidP="00D940D8">
      <w:pPr>
        <w:spacing w:line="320" w:lineRule="atLeast"/>
        <w:rPr>
          <w:rFonts w:ascii="Calibri" w:hAnsi="Calibri" w:cs="Calibri"/>
          <w:b/>
          <w:color w:val="002060"/>
          <w:sz w:val="24"/>
          <w:szCs w:val="24"/>
        </w:rPr>
      </w:pPr>
      <w:r w:rsidRPr="009412D0">
        <w:rPr>
          <w:rFonts w:ascii="Calibri" w:hAnsi="Calibri" w:cs="Calibri"/>
          <w:b/>
          <w:color w:val="002060"/>
          <w:sz w:val="24"/>
          <w:szCs w:val="24"/>
        </w:rPr>
        <w:t>3. La sentenza della Corte di Cassazione, 18 febbraio 2016, n. 3184</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Venendo a questo punto a trattare la posizione assunta dalla Corte di Cassazione nella sentenza che qui si segnala, bisogna preliminarmente considerare che, fra i vari motivi di gravame, la parte ricorrente sostiene, «contrariamente all’assunto della corte di merito, di aver adempiuto all’onere di provare l’esistenza del credito ceduto, posto che l’avvenuta notifica della cessione tramite ufficiale giudiziario al debitore ceduto – non seguita da contestazioni di sorta se non per la prima volta in sede giudiziale – comportava una tacita accettazione da parte di (…) integrante un vero e proprio riconoscimento di debito verso il nuovo debitore».</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Tale motivo è giudicato infondato dalla Corte di Cassazione.</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 xml:space="preserve">Quest’ultima rileva, infatti, come «La doglianza fatta valere dalla ricorrente trae fondamento nella tesi sostenuta da una parte della dottrina, secondo cui l’accettazione (nella specie, </w:t>
      </w:r>
      <w:proofErr w:type="spellStart"/>
      <w:r w:rsidRPr="009412D0">
        <w:rPr>
          <w:rFonts w:ascii="Calibri" w:hAnsi="Calibri" w:cs="Calibri"/>
          <w:color w:val="002060"/>
          <w:sz w:val="24"/>
          <w:szCs w:val="24"/>
        </w:rPr>
        <w:t>asseritamente</w:t>
      </w:r>
      <w:proofErr w:type="spellEnd"/>
      <w:r w:rsidRPr="009412D0">
        <w:rPr>
          <w:rFonts w:ascii="Calibri" w:hAnsi="Calibri" w:cs="Calibri"/>
          <w:color w:val="002060"/>
          <w:sz w:val="24"/>
          <w:szCs w:val="24"/>
        </w:rPr>
        <w:t xml:space="preserve"> tacita) della cessione del credito avrebbe natura di riconoscimento di debito. Tale posizione dottrinaria non trova tuttavia riscontro nella giurisprudenza, la quale è ferma nel ritenere che la notifica prevista dall’art. 1264 c.c., svolga la funzione di escludere l’efficacia liberatoria del pagamento eventualmente effettuato in buona fede dal debitore ceduto al cedente anziché al cessionario, e non valga ad esonerare quest’ultimo dall’onere di provare il credito. Va, al riguardo, anzitutto richiamato il principio di diritto espresso nella sentenza menzionata dalla corte di merito (Cass. civ., sez. 2^, 27-02-1998, n. 2156</w:t>
      </w:r>
      <w:r w:rsidRPr="009412D0">
        <w:rPr>
          <w:rFonts w:ascii="Calibri" w:hAnsi="Calibri" w:cs="Calibri"/>
          <w:b/>
          <w:color w:val="002060"/>
          <w:sz w:val="24"/>
          <w:szCs w:val="24"/>
          <w:vertAlign w:val="superscript"/>
        </w:rPr>
        <w:t xml:space="preserve"> (10)</w:t>
      </w:r>
      <w:r w:rsidRPr="009412D0">
        <w:rPr>
          <w:rFonts w:ascii="Calibri" w:hAnsi="Calibri" w:cs="Calibri"/>
          <w:color w:val="002060"/>
          <w:sz w:val="24"/>
          <w:szCs w:val="24"/>
        </w:rPr>
        <w:t>), in forza del quale il debitore ceduto, pur se edotto della cessione, non viola il principio di buona fede nei confronti del cessionario se non contesta il credito, né il suo silenzio può costituire conferma di esso, perché per assumere tale significato occorre un’intesa tra le parti ed invece egli rimane estraneo alla cessione, di modo che è onere del cessionario provare l’esistenza e l’ammontare del credito. Inoltre, l’accettazione della cessione da parte del debitore ceduto è dichiarazione di scienza priva di contenuto negoziale e non vale in sé quale ricognizione tacita del debito; né tale valenza può desumersi dal silenzio del debitore sulla natura del credito ceduto – atteso che quest’ultimo si identifica con il contratto dal quale nasce, da presumersi noto al nuovo creditore – o dalla mancata informativa al cessionario sulle ragioni della contestazione del credito, in quanto l’obbligo di diligenza di cui all’art. 1176 c.c., è imposto al debitore solo nell’adempimento della prestazione, mentre non può essere esteso sino ad includere l’informazione dettagliata delle ragioni del rifiuto di adempiere (Cass., sez. 1^, 18-12-2007, n. 26664</w:t>
      </w:r>
      <w:r w:rsidRPr="009412D0">
        <w:rPr>
          <w:rFonts w:ascii="Calibri" w:hAnsi="Calibri" w:cs="Calibri"/>
          <w:b/>
          <w:color w:val="002060"/>
          <w:sz w:val="24"/>
          <w:szCs w:val="24"/>
          <w:vertAlign w:val="superscript"/>
        </w:rPr>
        <w:t xml:space="preserve"> (11)</w:t>
      </w:r>
      <w:r w:rsidRPr="009412D0">
        <w:rPr>
          <w:rFonts w:ascii="Calibri" w:hAnsi="Calibri" w:cs="Calibri"/>
          <w:color w:val="002060"/>
          <w:sz w:val="24"/>
          <w:szCs w:val="24"/>
        </w:rPr>
        <w:t>)».</w:t>
      </w:r>
    </w:p>
    <w:p w:rsidR="00D940D8" w:rsidRPr="009412D0" w:rsidRDefault="00D940D8" w:rsidP="00D940D8">
      <w:pPr>
        <w:spacing w:line="320" w:lineRule="atLeast"/>
        <w:rPr>
          <w:rFonts w:ascii="Calibri" w:hAnsi="Calibri" w:cs="Calibri"/>
          <w:b/>
          <w:color w:val="002060"/>
          <w:sz w:val="24"/>
          <w:szCs w:val="24"/>
        </w:rPr>
      </w:pPr>
    </w:p>
    <w:p w:rsidR="00D940D8" w:rsidRPr="009412D0" w:rsidRDefault="00D940D8" w:rsidP="00D940D8">
      <w:pPr>
        <w:spacing w:line="320" w:lineRule="atLeast"/>
        <w:rPr>
          <w:rFonts w:ascii="Calibri" w:hAnsi="Calibri" w:cs="Calibri"/>
          <w:b/>
          <w:color w:val="002060"/>
          <w:sz w:val="24"/>
          <w:szCs w:val="24"/>
        </w:rPr>
      </w:pPr>
      <w:r w:rsidRPr="009412D0">
        <w:rPr>
          <w:rFonts w:ascii="Calibri" w:hAnsi="Calibri" w:cs="Calibri"/>
          <w:b/>
          <w:color w:val="002060"/>
          <w:sz w:val="24"/>
          <w:szCs w:val="24"/>
        </w:rPr>
        <w:t>Conclusioni.</w:t>
      </w:r>
    </w:p>
    <w:p w:rsidR="00D940D8" w:rsidRPr="009412D0" w:rsidRDefault="00D940D8" w:rsidP="00D940D8">
      <w:pPr>
        <w:spacing w:line="320" w:lineRule="atLeast"/>
        <w:rPr>
          <w:rFonts w:ascii="Calibri" w:hAnsi="Calibri" w:cs="Calibri"/>
          <w:color w:val="002060"/>
          <w:sz w:val="24"/>
          <w:szCs w:val="24"/>
        </w:rPr>
      </w:pPr>
      <w:r w:rsidRPr="009412D0">
        <w:rPr>
          <w:rFonts w:ascii="Calibri" w:hAnsi="Calibri" w:cs="Calibri"/>
          <w:color w:val="002060"/>
          <w:sz w:val="24"/>
          <w:szCs w:val="24"/>
        </w:rPr>
        <w:t xml:space="preserve">In conclusione, la sentenza della Corte di Cassazione, 18 febbraio 2018, n. 3184, merita qui di essere segnalata in quanto essa, discostandosi espressamente dall’orientamento dottrinario </w:t>
      </w:r>
      <w:r w:rsidRPr="009412D0">
        <w:rPr>
          <w:rFonts w:ascii="Calibri" w:hAnsi="Calibri" w:cs="Calibri"/>
          <w:color w:val="002060"/>
          <w:sz w:val="24"/>
          <w:szCs w:val="24"/>
        </w:rPr>
        <w:lastRenderedPageBreak/>
        <w:t>contrario, qualifica come semplice presa di conoscenza – mera dichiarazione di scienza – la accettazione della cessione del credito da parte del debitore ceduto.</w:t>
      </w:r>
    </w:p>
    <w:p w:rsidR="00D940D8" w:rsidRPr="009412D0" w:rsidRDefault="00D940D8" w:rsidP="00D940D8">
      <w:pPr>
        <w:spacing w:line="276" w:lineRule="auto"/>
        <w:rPr>
          <w:rFonts w:ascii="Calibri" w:hAnsi="Calibri" w:cs="Calibri"/>
          <w:color w:val="002060"/>
          <w:sz w:val="24"/>
          <w:szCs w:val="24"/>
        </w:rPr>
      </w:pPr>
    </w:p>
    <w:p w:rsidR="00D940D8" w:rsidRPr="009412D0" w:rsidRDefault="00D940D8" w:rsidP="00D940D8">
      <w:pPr>
        <w:spacing w:line="276" w:lineRule="auto"/>
        <w:jc w:val="right"/>
        <w:rPr>
          <w:rFonts w:ascii="Calibri" w:hAnsi="Calibri"/>
          <w:i/>
          <w:color w:val="002060"/>
          <w:sz w:val="24"/>
          <w:szCs w:val="24"/>
        </w:rPr>
      </w:pPr>
      <w:r w:rsidRPr="009412D0">
        <w:rPr>
          <w:rFonts w:ascii="Calibri" w:hAnsi="Calibri"/>
          <w:i/>
          <w:color w:val="002060"/>
          <w:sz w:val="24"/>
          <w:szCs w:val="24"/>
        </w:rPr>
        <w:t xml:space="preserve">Antonio </w:t>
      </w:r>
      <w:proofErr w:type="spellStart"/>
      <w:r w:rsidRPr="009412D0">
        <w:rPr>
          <w:rFonts w:ascii="Calibri" w:hAnsi="Calibri"/>
          <w:i/>
          <w:color w:val="002060"/>
          <w:sz w:val="24"/>
          <w:szCs w:val="24"/>
        </w:rPr>
        <w:t>Musto</w:t>
      </w:r>
      <w:proofErr w:type="spellEnd"/>
    </w:p>
    <w:p w:rsidR="00D940D8" w:rsidRPr="009412D0" w:rsidRDefault="00D940D8" w:rsidP="00D940D8">
      <w:pPr>
        <w:widowControl w:val="0"/>
        <w:spacing w:line="276" w:lineRule="auto"/>
        <w:ind w:firstLine="0"/>
        <w:rPr>
          <w:rFonts w:ascii="Calibri" w:hAnsi="Calibri" w:cs="Arial"/>
          <w:color w:val="002060"/>
          <w:sz w:val="24"/>
          <w:szCs w:val="20"/>
        </w:rPr>
      </w:pPr>
      <w:r w:rsidRPr="009412D0">
        <w:rPr>
          <w:rFonts w:ascii="Calibri" w:hAnsi="Calibri" w:cs="Arial"/>
          <w:color w:val="002060"/>
          <w:sz w:val="24"/>
          <w:szCs w:val="20"/>
        </w:rPr>
        <w:t>_______________</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hAnsi="Calibri" w:cs="Calibri"/>
          <w:color w:val="002060"/>
          <w:szCs w:val="20"/>
        </w:rPr>
        <w:t xml:space="preserve">Cass., 18 febbraio 2016, n. 3184, in </w:t>
      </w:r>
      <w:proofErr w:type="spellStart"/>
      <w:r w:rsidRPr="009412D0">
        <w:rPr>
          <w:rFonts w:ascii="Calibri" w:hAnsi="Calibri" w:cs="Calibri"/>
          <w:i/>
          <w:color w:val="002060"/>
          <w:szCs w:val="20"/>
        </w:rPr>
        <w:t>Dejure</w:t>
      </w:r>
      <w:proofErr w:type="spellEnd"/>
      <w:r w:rsidRPr="009412D0">
        <w:rPr>
          <w:rFonts w:ascii="Calibri" w:hAnsi="Calibri" w:cs="Calibri"/>
          <w:color w:val="002060"/>
          <w:szCs w:val="20"/>
        </w:rPr>
        <w:t xml:space="preserve">; </w:t>
      </w:r>
      <w:r w:rsidRPr="009412D0">
        <w:rPr>
          <w:rFonts w:ascii="Calibri" w:hAnsi="Calibri" w:cs="Calibri"/>
          <w:i/>
          <w:color w:val="002060"/>
          <w:szCs w:val="20"/>
        </w:rPr>
        <w:t>www.giuricivile.it</w:t>
      </w:r>
      <w:r w:rsidRPr="009412D0">
        <w:rPr>
          <w:rFonts w:ascii="Calibri" w:hAnsi="Calibri" w:cs="Calibri"/>
          <w:color w:val="002060"/>
          <w:szCs w:val="20"/>
        </w:rPr>
        <w:t>; segnalata anche</w:t>
      </w:r>
      <w:r w:rsidRPr="009412D0">
        <w:rPr>
          <w:rFonts w:ascii="Calibri" w:hAnsi="Calibri" w:cs="Calibri"/>
          <w:i/>
          <w:color w:val="002060"/>
          <w:szCs w:val="20"/>
        </w:rPr>
        <w:t xml:space="preserve"> </w:t>
      </w:r>
      <w:r w:rsidRPr="009412D0">
        <w:rPr>
          <w:rFonts w:ascii="Calibri" w:hAnsi="Calibri" w:cs="Calibri"/>
          <w:color w:val="002060"/>
          <w:szCs w:val="20"/>
        </w:rPr>
        <w:t xml:space="preserve">in </w:t>
      </w:r>
      <w:r w:rsidRPr="009412D0">
        <w:rPr>
          <w:rFonts w:ascii="Calibri" w:hAnsi="Calibri" w:cs="Calibri"/>
          <w:i/>
          <w:color w:val="002060"/>
          <w:szCs w:val="20"/>
        </w:rPr>
        <w:t>www.quotidianogiuridico.it</w:t>
      </w:r>
      <w:r w:rsidRPr="009412D0">
        <w:rPr>
          <w:rFonts w:ascii="Calibri" w:hAnsi="Calibri" w:cs="Calibri"/>
          <w:color w:val="002060"/>
          <w:szCs w:val="20"/>
        </w:rPr>
        <w:t>;</w:t>
      </w:r>
      <w:r w:rsidRPr="009412D0">
        <w:rPr>
          <w:rFonts w:ascii="Calibri" w:hAnsi="Calibri" w:cs="Calibri"/>
          <w:i/>
          <w:color w:val="002060"/>
          <w:szCs w:val="20"/>
        </w:rPr>
        <w:t xml:space="preserve"> www.filodiritto.it</w:t>
      </w:r>
      <w:r w:rsidRPr="009412D0">
        <w:rPr>
          <w:rFonts w:ascii="Calibri" w:hAnsi="Calibri" w:cs="Calibri"/>
          <w:color w:val="002060"/>
          <w:szCs w:val="20"/>
        </w:rPr>
        <w:t xml:space="preserve">, con nota </w:t>
      </w:r>
      <w:r w:rsidRPr="009412D0">
        <w:rPr>
          <w:rFonts w:ascii="Calibri" w:eastAsia="Calibri" w:hAnsi="Calibri" w:cs="Calibri"/>
          <w:smallCaps/>
          <w:color w:val="002060"/>
          <w:szCs w:val="20"/>
          <w:lang w:val="x-none" w:eastAsia="x-none"/>
        </w:rPr>
        <w:t>F. Russo</w:t>
      </w:r>
      <w:r w:rsidRPr="009412D0">
        <w:rPr>
          <w:rFonts w:ascii="Calibri" w:hAnsi="Calibri" w:cs="Calibri"/>
          <w:color w:val="002060"/>
          <w:szCs w:val="20"/>
        </w:rPr>
        <w:t xml:space="preserve">, </w:t>
      </w:r>
      <w:r w:rsidRPr="009412D0">
        <w:rPr>
          <w:rFonts w:ascii="Calibri" w:hAnsi="Calibri" w:cs="Calibri"/>
          <w:i/>
          <w:color w:val="002060"/>
          <w:szCs w:val="20"/>
        </w:rPr>
        <w:t>Credito-Cassazione Civile: l’accettazione della cessione da parte del debitore ceduto non configura riconoscimento del debito</w:t>
      </w:r>
      <w:r w:rsidRPr="009412D0">
        <w:rPr>
          <w:rFonts w:ascii="Calibri" w:hAnsi="Calibri" w:cs="Calibri"/>
          <w:color w:val="002060"/>
          <w:szCs w:val="20"/>
        </w:rPr>
        <w:t xml:space="preserve">. </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C. Cicero</w:t>
      </w:r>
      <w:r w:rsidRPr="009412D0">
        <w:rPr>
          <w:rFonts w:ascii="Calibri" w:hAnsi="Calibri" w:cs="Calibri"/>
          <w:color w:val="002060"/>
          <w:szCs w:val="20"/>
        </w:rPr>
        <w:t xml:space="preserve">,  </w:t>
      </w:r>
      <w:r w:rsidRPr="009412D0">
        <w:rPr>
          <w:rFonts w:ascii="Calibri" w:hAnsi="Calibri" w:cs="Calibri"/>
          <w:i/>
          <w:color w:val="002060"/>
          <w:szCs w:val="20"/>
        </w:rPr>
        <w:t>Iscrizione e rinnovazione ipotecaria</w:t>
      </w:r>
      <w:r w:rsidRPr="009412D0">
        <w:rPr>
          <w:rFonts w:ascii="Calibri" w:hAnsi="Calibri" w:cs="Calibri"/>
          <w:color w:val="002060"/>
          <w:szCs w:val="20"/>
        </w:rPr>
        <w:t xml:space="preserve">, in </w:t>
      </w:r>
      <w:r w:rsidRPr="009412D0">
        <w:rPr>
          <w:rFonts w:ascii="Calibri" w:hAnsi="Calibri" w:cs="Calibri"/>
          <w:i/>
          <w:color w:val="002060"/>
          <w:szCs w:val="20"/>
        </w:rPr>
        <w:t>Cod. civ. comm</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 xml:space="preserve">P. </w:t>
      </w:r>
      <w:proofErr w:type="spellStart"/>
      <w:r w:rsidRPr="009412D0">
        <w:rPr>
          <w:rFonts w:ascii="Calibri" w:eastAsia="Calibri" w:hAnsi="Calibri" w:cs="Calibri"/>
          <w:smallCaps/>
          <w:color w:val="002060"/>
          <w:szCs w:val="20"/>
          <w:lang w:val="x-none" w:eastAsia="x-none"/>
        </w:rPr>
        <w:t>Schlesinger</w:t>
      </w:r>
      <w:proofErr w:type="spellEnd"/>
      <w:r w:rsidRPr="009412D0">
        <w:rPr>
          <w:rFonts w:ascii="Calibri" w:hAnsi="Calibri" w:cs="Calibri"/>
          <w:color w:val="002060"/>
          <w:szCs w:val="20"/>
        </w:rPr>
        <w:t xml:space="preserve"> (fondato da), </w:t>
      </w:r>
      <w:r w:rsidRPr="009412D0">
        <w:rPr>
          <w:rFonts w:ascii="Calibri" w:eastAsia="Calibri" w:hAnsi="Calibri" w:cs="Calibri"/>
          <w:smallCaps/>
          <w:color w:val="002060"/>
          <w:szCs w:val="20"/>
          <w:lang w:val="x-none" w:eastAsia="x-none"/>
        </w:rPr>
        <w:t xml:space="preserve">F.D. </w:t>
      </w:r>
      <w:proofErr w:type="spellStart"/>
      <w:r w:rsidRPr="009412D0">
        <w:rPr>
          <w:rFonts w:ascii="Calibri" w:eastAsia="Calibri" w:hAnsi="Calibri" w:cs="Calibri"/>
          <w:smallCaps/>
          <w:color w:val="002060"/>
          <w:szCs w:val="20"/>
          <w:lang w:val="x-none" w:eastAsia="x-none"/>
        </w:rPr>
        <w:t>Busnelli</w:t>
      </w:r>
      <w:proofErr w:type="spellEnd"/>
      <w:r w:rsidRPr="009412D0">
        <w:rPr>
          <w:rFonts w:ascii="Calibri" w:hAnsi="Calibri" w:cs="Calibri"/>
          <w:color w:val="002060"/>
          <w:szCs w:val="20"/>
        </w:rPr>
        <w:t xml:space="preserve"> (diretto da), Milano, 2008, 158. Sull’argomento, </w:t>
      </w:r>
      <w:r w:rsidRPr="009412D0">
        <w:rPr>
          <w:rFonts w:ascii="Calibri" w:eastAsia="Calibri" w:hAnsi="Calibri" w:cs="Calibri"/>
          <w:smallCaps/>
          <w:color w:val="002060"/>
          <w:szCs w:val="20"/>
          <w:lang w:val="x-none" w:eastAsia="x-none"/>
        </w:rPr>
        <w:t>D. Valentino</w:t>
      </w:r>
      <w:r w:rsidRPr="009412D0">
        <w:rPr>
          <w:rFonts w:ascii="Calibri" w:hAnsi="Calibri" w:cs="Calibri"/>
          <w:color w:val="002060"/>
          <w:szCs w:val="20"/>
        </w:rPr>
        <w:t xml:space="preserve">, in </w:t>
      </w:r>
      <w:r w:rsidRPr="009412D0">
        <w:rPr>
          <w:rFonts w:ascii="Calibri" w:eastAsia="Calibri" w:hAnsi="Calibri" w:cs="Calibri"/>
          <w:smallCaps/>
          <w:color w:val="002060"/>
          <w:szCs w:val="20"/>
          <w:lang w:val="x-none" w:eastAsia="x-none"/>
        </w:rPr>
        <w:t>D. Valentino</w:t>
      </w:r>
      <w:r w:rsidRPr="009412D0">
        <w:rPr>
          <w:rFonts w:ascii="Calibri" w:hAnsi="Calibri" w:cs="Calibri"/>
          <w:color w:val="002060"/>
          <w:szCs w:val="20"/>
        </w:rPr>
        <w:t xml:space="preserve"> e </w:t>
      </w:r>
      <w:proofErr w:type="spellStart"/>
      <w:r w:rsidRPr="009412D0">
        <w:rPr>
          <w:rFonts w:ascii="Calibri" w:eastAsia="Calibri" w:hAnsi="Calibri" w:cs="Calibri"/>
          <w:smallCaps/>
          <w:color w:val="002060"/>
          <w:szCs w:val="20"/>
          <w:lang w:val="x-none" w:eastAsia="x-none"/>
        </w:rPr>
        <w:t>E</w:t>
      </w:r>
      <w:proofErr w:type="spellEnd"/>
      <w:r w:rsidRPr="009412D0">
        <w:rPr>
          <w:rFonts w:ascii="Calibri" w:eastAsia="Calibri" w:hAnsi="Calibri" w:cs="Calibri"/>
          <w:smallCaps/>
          <w:color w:val="002060"/>
          <w:szCs w:val="20"/>
          <w:lang w:val="x-none" w:eastAsia="x-none"/>
        </w:rPr>
        <w:t>. Briganti</w:t>
      </w:r>
      <w:r w:rsidRPr="009412D0">
        <w:rPr>
          <w:rFonts w:ascii="Calibri" w:hAnsi="Calibri" w:cs="Calibri"/>
          <w:color w:val="002060"/>
          <w:szCs w:val="20"/>
        </w:rPr>
        <w:t xml:space="preserve">, </w:t>
      </w:r>
      <w:r w:rsidRPr="009412D0">
        <w:rPr>
          <w:rFonts w:ascii="Calibri" w:hAnsi="Calibri" w:cs="Calibri"/>
          <w:i/>
          <w:color w:val="002060"/>
          <w:szCs w:val="20"/>
        </w:rPr>
        <w:t>Le vicende delle obbligazioni</w:t>
      </w:r>
      <w:r w:rsidRPr="009412D0">
        <w:rPr>
          <w:rFonts w:ascii="Calibri" w:hAnsi="Calibri" w:cs="Calibri"/>
          <w:color w:val="002060"/>
          <w:szCs w:val="20"/>
        </w:rPr>
        <w:t xml:space="preserve">, in </w:t>
      </w:r>
      <w:r w:rsidRPr="009412D0">
        <w:rPr>
          <w:rFonts w:ascii="Calibri" w:hAnsi="Calibri" w:cs="Calibri"/>
          <w:i/>
          <w:color w:val="002060"/>
          <w:szCs w:val="20"/>
        </w:rPr>
        <w:t>La circolazione del credito e del debito</w:t>
      </w:r>
      <w:r w:rsidRPr="009412D0">
        <w:rPr>
          <w:rFonts w:ascii="Calibri" w:hAnsi="Calibri" w:cs="Calibri"/>
          <w:color w:val="002060"/>
          <w:szCs w:val="20"/>
        </w:rPr>
        <w:t xml:space="preserve">, in </w:t>
      </w:r>
      <w:proofErr w:type="spellStart"/>
      <w:r w:rsidRPr="009412D0">
        <w:rPr>
          <w:rFonts w:ascii="Calibri" w:hAnsi="Calibri" w:cs="Calibri"/>
          <w:i/>
          <w:color w:val="002060"/>
          <w:szCs w:val="20"/>
        </w:rPr>
        <w:t>Tratt</w:t>
      </w:r>
      <w:proofErr w:type="spellEnd"/>
      <w:r w:rsidRPr="009412D0">
        <w:rPr>
          <w:rFonts w:ascii="Calibri" w:hAnsi="Calibri" w:cs="Calibri"/>
          <w:i/>
          <w:color w:val="002060"/>
          <w:szCs w:val="20"/>
        </w:rPr>
        <w:t>. dir. civ.</w:t>
      </w:r>
      <w:r w:rsidRPr="009412D0">
        <w:rPr>
          <w:rFonts w:ascii="Calibri" w:hAnsi="Calibri" w:cs="Calibri"/>
          <w:color w:val="002060"/>
          <w:szCs w:val="20"/>
        </w:rPr>
        <w:t>,</w:t>
      </w:r>
      <w:r w:rsidRPr="009412D0">
        <w:rPr>
          <w:rFonts w:ascii="Calibri" w:hAnsi="Calibri" w:cs="Calibri"/>
          <w:i/>
          <w:color w:val="002060"/>
          <w:szCs w:val="20"/>
        </w:rPr>
        <w:t xml:space="preserve"> </w:t>
      </w:r>
      <w:r w:rsidRPr="009412D0">
        <w:rPr>
          <w:rFonts w:ascii="Calibri" w:hAnsi="Calibri" w:cs="Calibri"/>
          <w:color w:val="002060"/>
          <w:szCs w:val="20"/>
        </w:rPr>
        <w:t xml:space="preserve">Consiglio Nazionale del Notariato, </w:t>
      </w:r>
      <w:r w:rsidRPr="009412D0">
        <w:rPr>
          <w:rFonts w:ascii="Calibri" w:eastAsia="Calibri" w:hAnsi="Calibri" w:cs="Calibri"/>
          <w:smallCaps/>
          <w:color w:val="002060"/>
          <w:szCs w:val="20"/>
          <w:lang w:val="x-none" w:eastAsia="x-none"/>
        </w:rPr>
        <w:t xml:space="preserve">P. </w:t>
      </w:r>
      <w:proofErr w:type="spellStart"/>
      <w:r w:rsidRPr="009412D0">
        <w:rPr>
          <w:rFonts w:ascii="Calibri" w:eastAsia="Calibri" w:hAnsi="Calibri" w:cs="Calibri"/>
          <w:smallCaps/>
          <w:color w:val="002060"/>
          <w:szCs w:val="20"/>
          <w:lang w:val="x-none" w:eastAsia="x-none"/>
        </w:rPr>
        <w:t>Perlingieri</w:t>
      </w:r>
      <w:proofErr w:type="spellEnd"/>
      <w:r w:rsidRPr="009412D0">
        <w:rPr>
          <w:rFonts w:ascii="Calibri" w:hAnsi="Calibri" w:cs="Calibri"/>
          <w:color w:val="002060"/>
          <w:szCs w:val="20"/>
        </w:rPr>
        <w:t xml:space="preserve"> (diretto da), 2007, 67. Per una rassegna dei diversi orientamenti dottrinali e giurisprudenziali sul punto, </w:t>
      </w:r>
      <w:r w:rsidRPr="009412D0">
        <w:rPr>
          <w:rFonts w:ascii="Calibri" w:eastAsia="Calibri" w:hAnsi="Calibri" w:cs="Calibri"/>
          <w:smallCaps/>
          <w:color w:val="002060"/>
          <w:szCs w:val="20"/>
          <w:lang w:val="x-none" w:eastAsia="x-none"/>
        </w:rPr>
        <w:t>G. Marziale</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H. Simonetti</w:t>
      </w:r>
      <w:r w:rsidRPr="009412D0">
        <w:rPr>
          <w:rFonts w:ascii="Calibri" w:hAnsi="Calibri" w:cs="Calibri"/>
          <w:color w:val="002060"/>
          <w:szCs w:val="20"/>
        </w:rPr>
        <w:t xml:space="preserve">, </w:t>
      </w:r>
      <w:r w:rsidRPr="009412D0">
        <w:rPr>
          <w:rFonts w:ascii="Calibri" w:hAnsi="Calibri" w:cs="Calibri"/>
          <w:i/>
          <w:color w:val="002060"/>
          <w:szCs w:val="20"/>
        </w:rPr>
        <w:t>Art. 1264</w:t>
      </w:r>
      <w:r w:rsidRPr="009412D0">
        <w:rPr>
          <w:rFonts w:ascii="Calibri" w:hAnsi="Calibri" w:cs="Calibri"/>
          <w:color w:val="002060"/>
          <w:szCs w:val="20"/>
        </w:rPr>
        <w:t xml:space="preserve">, in </w:t>
      </w:r>
      <w:r w:rsidRPr="009412D0">
        <w:rPr>
          <w:rFonts w:ascii="Calibri" w:hAnsi="Calibri" w:cs="Calibri"/>
          <w:i/>
          <w:color w:val="002060"/>
          <w:szCs w:val="20"/>
        </w:rPr>
        <w:t>La giurisprudenza sul codice civile. Coordinata con la dottrina</w:t>
      </w:r>
      <w:r w:rsidRPr="009412D0">
        <w:rPr>
          <w:rFonts w:ascii="Calibri" w:hAnsi="Calibri" w:cs="Calibri"/>
          <w:color w:val="002060"/>
          <w:szCs w:val="20"/>
        </w:rPr>
        <w:t xml:space="preserve">, Libro IV, Milano, 2012, 746 s.; </w:t>
      </w:r>
      <w:r w:rsidRPr="009412D0">
        <w:rPr>
          <w:rFonts w:ascii="Calibri" w:eastAsia="Calibri" w:hAnsi="Calibri" w:cs="Calibri"/>
          <w:smallCaps/>
          <w:color w:val="002060"/>
          <w:szCs w:val="20"/>
          <w:lang w:val="x-none" w:eastAsia="x-none"/>
        </w:rPr>
        <w:t>F. Galgano</w:t>
      </w:r>
      <w:r w:rsidRPr="009412D0">
        <w:rPr>
          <w:rFonts w:ascii="Calibri" w:hAnsi="Calibri" w:cs="Calibri"/>
          <w:color w:val="002060"/>
          <w:szCs w:val="20"/>
        </w:rPr>
        <w:t xml:space="preserve">, </w:t>
      </w:r>
      <w:r w:rsidRPr="009412D0">
        <w:rPr>
          <w:rFonts w:ascii="Calibri" w:hAnsi="Calibri" w:cs="Calibri"/>
          <w:i/>
          <w:color w:val="002060"/>
          <w:szCs w:val="20"/>
        </w:rPr>
        <w:t>Le obbligazioni in generale</w:t>
      </w:r>
      <w:r w:rsidRPr="009412D0">
        <w:rPr>
          <w:rFonts w:ascii="Calibri" w:hAnsi="Calibri" w:cs="Calibri"/>
          <w:color w:val="002060"/>
          <w:szCs w:val="20"/>
        </w:rPr>
        <w:t xml:space="preserve">, Padova, 2011, 161-162, nt. 3; </w:t>
      </w:r>
      <w:r w:rsidRPr="009412D0">
        <w:rPr>
          <w:rFonts w:ascii="Calibri" w:eastAsia="Calibri" w:hAnsi="Calibri" w:cs="Calibri"/>
          <w:smallCaps/>
          <w:color w:val="002060"/>
          <w:szCs w:val="20"/>
          <w:lang w:val="x-none" w:eastAsia="x-none"/>
        </w:rPr>
        <w:t>A. D’Attilio</w:t>
      </w:r>
      <w:r w:rsidRPr="009412D0">
        <w:rPr>
          <w:rFonts w:ascii="Calibri" w:hAnsi="Calibri" w:cs="Calibri"/>
          <w:color w:val="002060"/>
          <w:szCs w:val="20"/>
        </w:rPr>
        <w:t xml:space="preserve">, </w:t>
      </w:r>
      <w:r w:rsidRPr="009412D0">
        <w:rPr>
          <w:rFonts w:ascii="Calibri" w:hAnsi="Calibri" w:cs="Calibri"/>
          <w:i/>
          <w:color w:val="002060"/>
          <w:szCs w:val="20"/>
        </w:rPr>
        <w:t>Su alcune questioni vecchie e nuove in tema di cessione del credito</w:t>
      </w:r>
      <w:r w:rsidRPr="009412D0">
        <w:rPr>
          <w:rFonts w:ascii="Calibri" w:hAnsi="Calibri" w:cs="Calibri"/>
          <w:color w:val="002060"/>
          <w:szCs w:val="20"/>
        </w:rPr>
        <w:t xml:space="preserve">, in </w:t>
      </w:r>
      <w:r w:rsidRPr="009412D0">
        <w:rPr>
          <w:rFonts w:ascii="Calibri" w:hAnsi="Calibri" w:cs="Calibri"/>
          <w:i/>
          <w:color w:val="002060"/>
          <w:szCs w:val="20"/>
        </w:rPr>
        <w:t xml:space="preserve">Dir. </w:t>
      </w:r>
      <w:proofErr w:type="spellStart"/>
      <w:r w:rsidRPr="009412D0">
        <w:rPr>
          <w:rFonts w:ascii="Calibri" w:hAnsi="Calibri" w:cs="Calibri"/>
          <w:i/>
          <w:color w:val="002060"/>
          <w:szCs w:val="20"/>
        </w:rPr>
        <w:t>fall</w:t>
      </w:r>
      <w:proofErr w:type="spellEnd"/>
      <w:r w:rsidRPr="009412D0">
        <w:rPr>
          <w:rFonts w:ascii="Calibri" w:hAnsi="Calibri" w:cs="Calibri"/>
          <w:color w:val="002060"/>
          <w:szCs w:val="20"/>
        </w:rPr>
        <w:t>., 1996, II, 1110, nt. 53.</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 xml:space="preserve">G. </w:t>
      </w:r>
      <w:proofErr w:type="spellStart"/>
      <w:r w:rsidRPr="009412D0">
        <w:rPr>
          <w:rFonts w:ascii="Calibri" w:eastAsia="Calibri" w:hAnsi="Calibri" w:cs="Calibri"/>
          <w:smallCaps/>
          <w:color w:val="002060"/>
          <w:szCs w:val="20"/>
          <w:lang w:val="x-none" w:eastAsia="x-none"/>
        </w:rPr>
        <w:t>Finazzi</w:t>
      </w:r>
      <w:proofErr w:type="spellEnd"/>
      <w:r w:rsidRPr="009412D0">
        <w:rPr>
          <w:rFonts w:ascii="Calibri" w:hAnsi="Calibri" w:cs="Calibri"/>
          <w:color w:val="002060"/>
          <w:szCs w:val="20"/>
        </w:rPr>
        <w:t xml:space="preserve">, </w:t>
      </w:r>
      <w:r w:rsidRPr="009412D0">
        <w:rPr>
          <w:rFonts w:ascii="Calibri" w:hAnsi="Calibri" w:cs="Calibri"/>
          <w:i/>
          <w:color w:val="002060"/>
          <w:szCs w:val="20"/>
        </w:rPr>
        <w:t>Cessione del credito</w:t>
      </w:r>
      <w:r w:rsidRPr="009412D0">
        <w:rPr>
          <w:rFonts w:ascii="Calibri" w:hAnsi="Calibri" w:cs="Calibri"/>
          <w:color w:val="002060"/>
          <w:szCs w:val="20"/>
        </w:rPr>
        <w:t xml:space="preserve">, in </w:t>
      </w:r>
      <w:r w:rsidRPr="009412D0">
        <w:rPr>
          <w:rFonts w:ascii="Calibri" w:hAnsi="Calibri" w:cs="Calibri"/>
          <w:i/>
          <w:color w:val="002060"/>
          <w:szCs w:val="20"/>
        </w:rPr>
        <w:t>Trattato delle obbligazioni</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L. Garofalo</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 xml:space="preserve">M. </w:t>
      </w:r>
      <w:proofErr w:type="spellStart"/>
      <w:r w:rsidRPr="009412D0">
        <w:rPr>
          <w:rFonts w:ascii="Calibri" w:eastAsia="Calibri" w:hAnsi="Calibri" w:cs="Calibri"/>
          <w:smallCaps/>
          <w:color w:val="002060"/>
          <w:szCs w:val="20"/>
          <w:lang w:val="x-none" w:eastAsia="x-none"/>
        </w:rPr>
        <w:t>Talamanca</w:t>
      </w:r>
      <w:proofErr w:type="spellEnd"/>
      <w:r w:rsidRPr="009412D0">
        <w:rPr>
          <w:rFonts w:ascii="Calibri" w:hAnsi="Calibri" w:cs="Calibri"/>
          <w:color w:val="002060"/>
          <w:szCs w:val="20"/>
        </w:rPr>
        <w:t xml:space="preserve"> (diretto da), </w:t>
      </w:r>
      <w:r w:rsidRPr="009412D0">
        <w:rPr>
          <w:rFonts w:ascii="Calibri" w:hAnsi="Calibri" w:cs="Calibri"/>
          <w:i/>
          <w:color w:val="002060"/>
          <w:szCs w:val="20"/>
        </w:rPr>
        <w:t>La circolazione del credito</w:t>
      </w:r>
      <w:r w:rsidRPr="009412D0">
        <w:rPr>
          <w:rFonts w:ascii="Calibri" w:hAnsi="Calibri" w:cs="Calibri"/>
          <w:color w:val="002060"/>
          <w:szCs w:val="20"/>
        </w:rPr>
        <w:t xml:space="preserve">, t. I, </w:t>
      </w:r>
      <w:r w:rsidRPr="009412D0">
        <w:rPr>
          <w:rFonts w:ascii="Calibri" w:hAnsi="Calibri" w:cs="Calibri"/>
          <w:i/>
          <w:color w:val="002060"/>
          <w:szCs w:val="20"/>
        </w:rPr>
        <w:t>Cessione, factoring, cartolarizzazione</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R. Alessi</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V. Mannino</w:t>
      </w:r>
      <w:r w:rsidRPr="009412D0">
        <w:rPr>
          <w:rFonts w:ascii="Calibri" w:hAnsi="Calibri" w:cs="Calibri"/>
          <w:color w:val="002060"/>
          <w:szCs w:val="20"/>
        </w:rPr>
        <w:t xml:space="preserve"> (a cura di), Padova, 2008, 653 ss.</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C.M. Bianca</w:t>
      </w:r>
      <w:r w:rsidRPr="009412D0">
        <w:rPr>
          <w:rFonts w:ascii="Calibri" w:hAnsi="Calibri" w:cs="Calibri"/>
          <w:color w:val="002060"/>
          <w:szCs w:val="20"/>
        </w:rPr>
        <w:t xml:space="preserve">, </w:t>
      </w:r>
      <w:r w:rsidRPr="009412D0">
        <w:rPr>
          <w:rFonts w:ascii="Calibri" w:hAnsi="Calibri" w:cs="Calibri"/>
          <w:i/>
          <w:color w:val="002060"/>
          <w:szCs w:val="20"/>
        </w:rPr>
        <w:t>L’obbligazione</w:t>
      </w:r>
      <w:r w:rsidRPr="009412D0">
        <w:rPr>
          <w:rFonts w:ascii="Calibri" w:hAnsi="Calibri" w:cs="Calibri"/>
          <w:color w:val="002060"/>
          <w:szCs w:val="20"/>
        </w:rPr>
        <w:t xml:space="preserve">, </w:t>
      </w:r>
      <w:r w:rsidRPr="009412D0">
        <w:rPr>
          <w:rFonts w:ascii="Calibri" w:hAnsi="Calibri" w:cs="Calibri"/>
          <w:i/>
          <w:color w:val="002060"/>
          <w:szCs w:val="20"/>
        </w:rPr>
        <w:t>Diritto civile</w:t>
      </w:r>
      <w:r w:rsidRPr="009412D0">
        <w:rPr>
          <w:rFonts w:ascii="Calibri" w:hAnsi="Calibri" w:cs="Calibri"/>
          <w:color w:val="002060"/>
          <w:szCs w:val="20"/>
        </w:rPr>
        <w:t xml:space="preserve">, IV, Milano, 1985, 580; </w:t>
      </w:r>
      <w:r w:rsidRPr="009412D0">
        <w:rPr>
          <w:rFonts w:ascii="Calibri" w:eastAsia="Calibri" w:hAnsi="Calibri" w:cs="Calibri"/>
          <w:smallCaps/>
          <w:color w:val="002060"/>
          <w:szCs w:val="20"/>
          <w:lang w:val="x-none" w:eastAsia="x-none"/>
        </w:rPr>
        <w:t>Id</w:t>
      </w:r>
      <w:r w:rsidRPr="009412D0">
        <w:rPr>
          <w:rFonts w:ascii="Calibri" w:hAnsi="Calibri" w:cs="Calibri"/>
          <w:color w:val="002060"/>
          <w:szCs w:val="20"/>
        </w:rPr>
        <w:t xml:space="preserve">., </w:t>
      </w:r>
      <w:r w:rsidRPr="009412D0">
        <w:rPr>
          <w:rFonts w:ascii="Calibri" w:hAnsi="Calibri" w:cs="Calibri"/>
          <w:i/>
          <w:color w:val="002060"/>
          <w:szCs w:val="20"/>
        </w:rPr>
        <w:t>Il debitore e i mutamenti del destinatario del pagamento</w:t>
      </w:r>
      <w:r w:rsidRPr="009412D0">
        <w:rPr>
          <w:rFonts w:ascii="Calibri" w:hAnsi="Calibri" w:cs="Calibri"/>
          <w:color w:val="002060"/>
          <w:szCs w:val="20"/>
        </w:rPr>
        <w:t xml:space="preserve">, Milano, 1963, 302; così anche </w:t>
      </w:r>
      <w:r w:rsidRPr="009412D0">
        <w:rPr>
          <w:rFonts w:ascii="Calibri" w:eastAsia="Calibri" w:hAnsi="Calibri" w:cs="Calibri"/>
          <w:smallCaps/>
          <w:color w:val="002060"/>
          <w:szCs w:val="20"/>
          <w:lang w:val="x-none" w:eastAsia="x-none"/>
        </w:rPr>
        <w:t>A. Donati</w:t>
      </w:r>
      <w:r w:rsidRPr="009412D0">
        <w:rPr>
          <w:rFonts w:ascii="Calibri" w:hAnsi="Calibri" w:cs="Calibri"/>
          <w:color w:val="002060"/>
          <w:szCs w:val="20"/>
        </w:rPr>
        <w:t xml:space="preserve">, </w:t>
      </w:r>
      <w:r w:rsidRPr="009412D0">
        <w:rPr>
          <w:rFonts w:ascii="Calibri" w:hAnsi="Calibri" w:cs="Calibri"/>
          <w:i/>
          <w:color w:val="002060"/>
          <w:szCs w:val="20"/>
        </w:rPr>
        <w:t>Causalità e astrattezza nella delegazione</w:t>
      </w:r>
      <w:r w:rsidRPr="009412D0">
        <w:rPr>
          <w:rFonts w:ascii="Calibri" w:hAnsi="Calibri" w:cs="Calibri"/>
          <w:color w:val="002060"/>
          <w:szCs w:val="20"/>
        </w:rPr>
        <w:t xml:space="preserve">, Padova, 1975, 99; </w:t>
      </w:r>
      <w:r w:rsidRPr="009412D0">
        <w:rPr>
          <w:rFonts w:ascii="Calibri" w:eastAsia="Calibri" w:hAnsi="Calibri" w:cs="Calibri"/>
          <w:smallCaps/>
          <w:color w:val="002060"/>
          <w:szCs w:val="20"/>
          <w:lang w:val="x-none" w:eastAsia="x-none"/>
        </w:rPr>
        <w:t xml:space="preserve">A.A. </w:t>
      </w:r>
      <w:proofErr w:type="spellStart"/>
      <w:r w:rsidRPr="009412D0">
        <w:rPr>
          <w:rFonts w:ascii="Calibri" w:eastAsia="Calibri" w:hAnsi="Calibri" w:cs="Calibri"/>
          <w:smallCaps/>
          <w:color w:val="002060"/>
          <w:szCs w:val="20"/>
          <w:lang w:val="x-none" w:eastAsia="x-none"/>
        </w:rPr>
        <w:t>Dolmetta</w:t>
      </w:r>
      <w:proofErr w:type="spellEnd"/>
      <w:r w:rsidRPr="009412D0">
        <w:rPr>
          <w:rFonts w:ascii="Calibri" w:hAnsi="Calibri" w:cs="Calibri"/>
          <w:color w:val="002060"/>
          <w:szCs w:val="20"/>
        </w:rPr>
        <w:t xml:space="preserve">, voce </w:t>
      </w:r>
      <w:r w:rsidRPr="009412D0">
        <w:rPr>
          <w:rFonts w:ascii="Calibri" w:hAnsi="Calibri" w:cs="Calibri"/>
          <w:i/>
          <w:color w:val="002060"/>
          <w:szCs w:val="20"/>
        </w:rPr>
        <w:t>Cessione dei crediti</w:t>
      </w:r>
      <w:r w:rsidRPr="009412D0">
        <w:rPr>
          <w:rFonts w:ascii="Calibri" w:hAnsi="Calibri" w:cs="Calibri"/>
          <w:color w:val="002060"/>
          <w:szCs w:val="20"/>
        </w:rPr>
        <w:t xml:space="preserve">, in </w:t>
      </w:r>
      <w:proofErr w:type="spellStart"/>
      <w:r w:rsidRPr="009412D0">
        <w:rPr>
          <w:rFonts w:ascii="Calibri" w:hAnsi="Calibri" w:cs="Calibri"/>
          <w:i/>
          <w:color w:val="002060"/>
          <w:szCs w:val="20"/>
        </w:rPr>
        <w:t>Dig</w:t>
      </w:r>
      <w:proofErr w:type="spellEnd"/>
      <w:r w:rsidRPr="009412D0">
        <w:rPr>
          <w:rFonts w:ascii="Calibri" w:hAnsi="Calibri" w:cs="Calibri"/>
          <w:i/>
          <w:color w:val="002060"/>
          <w:szCs w:val="20"/>
        </w:rPr>
        <w:t xml:space="preserve">. disc. </w:t>
      </w:r>
      <w:proofErr w:type="spellStart"/>
      <w:r w:rsidRPr="009412D0">
        <w:rPr>
          <w:rFonts w:ascii="Calibri" w:hAnsi="Calibri" w:cs="Calibri"/>
          <w:i/>
          <w:color w:val="002060"/>
          <w:szCs w:val="20"/>
        </w:rPr>
        <w:t>priv</w:t>
      </w:r>
      <w:proofErr w:type="spellEnd"/>
      <w:r w:rsidRPr="009412D0">
        <w:rPr>
          <w:rFonts w:ascii="Calibri" w:hAnsi="Calibri" w:cs="Calibri"/>
          <w:i/>
          <w:color w:val="002060"/>
          <w:szCs w:val="20"/>
        </w:rPr>
        <w:t>., Sez. civ</w:t>
      </w:r>
      <w:r w:rsidRPr="009412D0">
        <w:rPr>
          <w:rFonts w:ascii="Calibri" w:hAnsi="Calibri" w:cs="Calibri"/>
          <w:color w:val="002060"/>
          <w:szCs w:val="20"/>
        </w:rPr>
        <w:t xml:space="preserve">., II, Torino, 1988, 306, nota 67: «Ora, che la dichiarazione di accettazione contenga un riconoscimento di debito a me pare assunto senz’altro condivisibile (…): con l’accettazione, il debitore “conferma” la cessione, la riconosce, dunque, come avvenuta nei propri confronti e quindi riconosce la propria posizione debitoria verso l’acquirente e per ciò stesso, ancora prima, l’esistenza del credito in capo all’alienante avanti il concludersi del negozio dispositivo (…)»; </w:t>
      </w:r>
      <w:r w:rsidRPr="009412D0">
        <w:rPr>
          <w:rFonts w:ascii="Calibri" w:eastAsia="Calibri" w:hAnsi="Calibri" w:cs="Calibri"/>
          <w:smallCaps/>
          <w:color w:val="002060"/>
          <w:szCs w:val="20"/>
          <w:lang w:val="x-none" w:eastAsia="x-none"/>
        </w:rPr>
        <w:t>Id</w:t>
      </w:r>
      <w:r w:rsidRPr="009412D0">
        <w:rPr>
          <w:rFonts w:ascii="Calibri" w:hAnsi="Calibri" w:cs="Calibri"/>
          <w:color w:val="002060"/>
          <w:szCs w:val="20"/>
        </w:rPr>
        <w:t xml:space="preserve">., </w:t>
      </w:r>
      <w:r w:rsidRPr="009412D0">
        <w:rPr>
          <w:rFonts w:ascii="Calibri" w:hAnsi="Calibri" w:cs="Calibri"/>
          <w:i/>
          <w:color w:val="002060"/>
          <w:szCs w:val="20"/>
        </w:rPr>
        <w:t>La carta di credito</w:t>
      </w:r>
      <w:r w:rsidRPr="009412D0">
        <w:rPr>
          <w:rFonts w:ascii="Calibri" w:hAnsi="Calibri" w:cs="Calibri"/>
          <w:color w:val="002060"/>
          <w:szCs w:val="20"/>
        </w:rPr>
        <w:t xml:space="preserve">, Milano, 1982, 66, nt. 94; </w:t>
      </w:r>
      <w:r w:rsidRPr="009412D0">
        <w:rPr>
          <w:rFonts w:ascii="Calibri" w:eastAsia="Calibri" w:hAnsi="Calibri" w:cs="Calibri"/>
          <w:smallCaps/>
          <w:color w:val="002060"/>
          <w:szCs w:val="20"/>
          <w:lang w:val="x-none" w:eastAsia="x-none"/>
        </w:rPr>
        <w:t>Id</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G.B. Portale</w:t>
      </w:r>
      <w:r w:rsidRPr="009412D0">
        <w:rPr>
          <w:rFonts w:ascii="Calibri" w:hAnsi="Calibri" w:cs="Calibri"/>
          <w:color w:val="002060"/>
          <w:szCs w:val="20"/>
        </w:rPr>
        <w:t xml:space="preserve">, </w:t>
      </w:r>
      <w:r w:rsidRPr="009412D0">
        <w:rPr>
          <w:rFonts w:ascii="Calibri" w:hAnsi="Calibri" w:cs="Calibri"/>
          <w:i/>
          <w:color w:val="002060"/>
          <w:szCs w:val="20"/>
        </w:rPr>
        <w:t>Cessione del credito e cessione in garanzia nell’ordinamento italiano</w:t>
      </w:r>
      <w:r w:rsidRPr="009412D0">
        <w:rPr>
          <w:rFonts w:ascii="Calibri" w:hAnsi="Calibri" w:cs="Calibri"/>
          <w:color w:val="002060"/>
          <w:szCs w:val="20"/>
        </w:rPr>
        <w:t xml:space="preserve">, in </w:t>
      </w:r>
      <w:r w:rsidRPr="009412D0">
        <w:rPr>
          <w:rFonts w:ascii="Calibri" w:hAnsi="Calibri" w:cs="Calibri"/>
          <w:i/>
          <w:color w:val="002060"/>
          <w:szCs w:val="20"/>
        </w:rPr>
        <w:t xml:space="preserve">Banca borsa e </w:t>
      </w:r>
      <w:proofErr w:type="spellStart"/>
      <w:r w:rsidRPr="009412D0">
        <w:rPr>
          <w:rFonts w:ascii="Calibri" w:hAnsi="Calibri" w:cs="Calibri"/>
          <w:i/>
          <w:color w:val="002060"/>
          <w:szCs w:val="20"/>
        </w:rPr>
        <w:t>tit</w:t>
      </w:r>
      <w:proofErr w:type="spellEnd"/>
      <w:r w:rsidRPr="009412D0">
        <w:rPr>
          <w:rFonts w:ascii="Calibri" w:hAnsi="Calibri" w:cs="Calibri"/>
          <w:i/>
          <w:color w:val="002060"/>
          <w:szCs w:val="20"/>
        </w:rPr>
        <w:t xml:space="preserve">. </w:t>
      </w:r>
      <w:proofErr w:type="spellStart"/>
      <w:r w:rsidRPr="009412D0">
        <w:rPr>
          <w:rFonts w:ascii="Calibri" w:hAnsi="Calibri" w:cs="Calibri"/>
          <w:i/>
          <w:color w:val="002060"/>
          <w:szCs w:val="20"/>
        </w:rPr>
        <w:t>cred</w:t>
      </w:r>
      <w:proofErr w:type="spellEnd"/>
      <w:r w:rsidRPr="009412D0">
        <w:rPr>
          <w:rFonts w:ascii="Calibri" w:hAnsi="Calibri" w:cs="Calibri"/>
          <w:color w:val="002060"/>
          <w:szCs w:val="20"/>
        </w:rPr>
        <w:t xml:space="preserve">., 1999, II, 87. Per la giurisprudenza di merito, Trib. Firenze, 27 gennaio 1994, in </w:t>
      </w:r>
      <w:r w:rsidRPr="009412D0">
        <w:rPr>
          <w:rFonts w:ascii="Calibri" w:hAnsi="Calibri" w:cs="Calibri"/>
          <w:i/>
          <w:color w:val="002060"/>
          <w:szCs w:val="20"/>
        </w:rPr>
        <w:t>Riv. it. leasing</w:t>
      </w:r>
      <w:r w:rsidRPr="009412D0">
        <w:rPr>
          <w:rFonts w:ascii="Calibri" w:hAnsi="Calibri" w:cs="Calibri"/>
          <w:color w:val="002060"/>
          <w:szCs w:val="20"/>
        </w:rPr>
        <w:t xml:space="preserve">, 1994, 865: «Nella cessione dei crediti d’impresa l’espressa accettazione del debitore ceduto comporta il perfezionamento dell’operazione e non può essere interpretata in altro modo che come riconoscimento dell’esistenza del credito, quale perfetto ed esistente nei suoi confronti, senza alcuna immaginabile condizione di salvo buon fine di presunte e non effettuate consegne di merce». </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 xml:space="preserve">P. </w:t>
      </w:r>
      <w:proofErr w:type="spellStart"/>
      <w:r w:rsidRPr="009412D0">
        <w:rPr>
          <w:rFonts w:ascii="Calibri" w:eastAsia="Calibri" w:hAnsi="Calibri" w:cs="Calibri"/>
          <w:smallCaps/>
          <w:color w:val="002060"/>
          <w:szCs w:val="20"/>
          <w:lang w:val="x-none" w:eastAsia="x-none"/>
        </w:rPr>
        <w:t>Lambrini</w:t>
      </w:r>
      <w:proofErr w:type="spellEnd"/>
      <w:r w:rsidRPr="009412D0">
        <w:rPr>
          <w:rFonts w:ascii="Calibri" w:hAnsi="Calibri" w:cs="Calibri"/>
          <w:color w:val="002060"/>
          <w:szCs w:val="20"/>
        </w:rPr>
        <w:t xml:space="preserve">, </w:t>
      </w:r>
      <w:r w:rsidRPr="009412D0">
        <w:rPr>
          <w:rFonts w:ascii="Calibri" w:hAnsi="Calibri" w:cs="Calibri"/>
          <w:i/>
          <w:color w:val="002060"/>
          <w:szCs w:val="20"/>
        </w:rPr>
        <w:t>Artt. 1260-1267</w:t>
      </w:r>
      <w:r w:rsidRPr="009412D0">
        <w:rPr>
          <w:rFonts w:ascii="Calibri" w:hAnsi="Calibri" w:cs="Calibri"/>
          <w:color w:val="002060"/>
          <w:szCs w:val="20"/>
        </w:rPr>
        <w:t xml:space="preserve">, </w:t>
      </w:r>
      <w:r w:rsidRPr="009412D0">
        <w:rPr>
          <w:rFonts w:ascii="Calibri" w:hAnsi="Calibri" w:cs="Calibri"/>
          <w:i/>
          <w:color w:val="002060"/>
          <w:szCs w:val="20"/>
        </w:rPr>
        <w:t>Della cessione dei crediti</w:t>
      </w:r>
      <w:r w:rsidRPr="009412D0">
        <w:rPr>
          <w:rFonts w:ascii="Calibri" w:hAnsi="Calibri" w:cs="Calibri"/>
          <w:color w:val="002060"/>
          <w:szCs w:val="20"/>
        </w:rPr>
        <w:t xml:space="preserve">, in </w:t>
      </w:r>
      <w:r w:rsidRPr="009412D0">
        <w:rPr>
          <w:rFonts w:ascii="Calibri" w:hAnsi="Calibri" w:cs="Calibri"/>
          <w:i/>
          <w:color w:val="002060"/>
          <w:szCs w:val="20"/>
        </w:rPr>
        <w:t>Comm. cod. civ</w:t>
      </w:r>
      <w:r w:rsidRPr="009412D0">
        <w:rPr>
          <w:rFonts w:ascii="Calibri" w:hAnsi="Calibri" w:cs="Calibri"/>
          <w:color w:val="002060"/>
          <w:szCs w:val="20"/>
        </w:rPr>
        <w:t>., E</w:t>
      </w:r>
      <w:r w:rsidRPr="009412D0">
        <w:rPr>
          <w:rFonts w:ascii="Calibri" w:eastAsia="Calibri" w:hAnsi="Calibri" w:cs="Calibri"/>
          <w:smallCaps/>
          <w:color w:val="002060"/>
          <w:szCs w:val="20"/>
          <w:lang w:val="x-none" w:eastAsia="x-none"/>
        </w:rPr>
        <w:t>. Gabrielli</w:t>
      </w:r>
      <w:r w:rsidRPr="009412D0">
        <w:rPr>
          <w:rFonts w:ascii="Calibri" w:hAnsi="Calibri" w:cs="Calibri"/>
          <w:color w:val="002060"/>
          <w:szCs w:val="20"/>
        </w:rPr>
        <w:t xml:space="preserve"> (diretto da), </w:t>
      </w:r>
      <w:r w:rsidRPr="009412D0">
        <w:rPr>
          <w:rFonts w:ascii="Calibri" w:eastAsia="Calibri" w:hAnsi="Calibri" w:cs="Calibri"/>
          <w:smallCaps/>
          <w:color w:val="002060"/>
          <w:szCs w:val="20"/>
          <w:lang w:val="x-none" w:eastAsia="x-none"/>
        </w:rPr>
        <w:t xml:space="preserve">V. </w:t>
      </w:r>
      <w:proofErr w:type="spellStart"/>
      <w:r w:rsidRPr="009412D0">
        <w:rPr>
          <w:rFonts w:ascii="Calibri" w:eastAsia="Calibri" w:hAnsi="Calibri" w:cs="Calibri"/>
          <w:smallCaps/>
          <w:color w:val="002060"/>
          <w:szCs w:val="20"/>
          <w:lang w:val="x-none" w:eastAsia="x-none"/>
        </w:rPr>
        <w:t>Cuffaro</w:t>
      </w:r>
      <w:proofErr w:type="spellEnd"/>
      <w:r w:rsidRPr="009412D0">
        <w:rPr>
          <w:rFonts w:ascii="Calibri" w:hAnsi="Calibri" w:cs="Calibri"/>
          <w:color w:val="002060"/>
          <w:szCs w:val="20"/>
        </w:rPr>
        <w:t xml:space="preserve"> (a cura di), Torino, 2013, 762.</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 xml:space="preserve">P. </w:t>
      </w:r>
      <w:proofErr w:type="spellStart"/>
      <w:r w:rsidRPr="009412D0">
        <w:rPr>
          <w:rFonts w:ascii="Calibri" w:eastAsia="Calibri" w:hAnsi="Calibri" w:cs="Calibri"/>
          <w:smallCaps/>
          <w:color w:val="002060"/>
          <w:szCs w:val="20"/>
          <w:lang w:val="x-none" w:eastAsia="x-none"/>
        </w:rPr>
        <w:t>Perlingieri</w:t>
      </w:r>
      <w:proofErr w:type="spellEnd"/>
      <w:r w:rsidRPr="009412D0">
        <w:rPr>
          <w:rFonts w:ascii="Calibri" w:hAnsi="Calibri" w:cs="Calibri"/>
          <w:color w:val="002060"/>
          <w:szCs w:val="20"/>
        </w:rPr>
        <w:t xml:space="preserve">, </w:t>
      </w:r>
      <w:r w:rsidRPr="009412D0">
        <w:rPr>
          <w:rFonts w:ascii="Calibri" w:hAnsi="Calibri" w:cs="Calibri"/>
          <w:i/>
          <w:color w:val="002060"/>
          <w:szCs w:val="20"/>
        </w:rPr>
        <w:t>Cessione del credito</w:t>
      </w:r>
      <w:r w:rsidRPr="009412D0">
        <w:rPr>
          <w:rFonts w:ascii="Calibri" w:hAnsi="Calibri" w:cs="Calibri"/>
          <w:color w:val="002060"/>
          <w:szCs w:val="20"/>
        </w:rPr>
        <w:t xml:space="preserve">, </w:t>
      </w:r>
      <w:r w:rsidRPr="009412D0">
        <w:rPr>
          <w:rFonts w:ascii="Calibri" w:hAnsi="Calibri" w:cs="Calibri"/>
          <w:i/>
          <w:color w:val="002060"/>
          <w:szCs w:val="20"/>
        </w:rPr>
        <w:t>Artt. 1260-1267</w:t>
      </w:r>
      <w:r w:rsidRPr="009412D0">
        <w:rPr>
          <w:rFonts w:ascii="Calibri" w:hAnsi="Calibri" w:cs="Calibri"/>
          <w:color w:val="002060"/>
          <w:szCs w:val="20"/>
        </w:rPr>
        <w:t xml:space="preserve">, in </w:t>
      </w:r>
      <w:r w:rsidRPr="009412D0">
        <w:rPr>
          <w:rFonts w:ascii="Calibri" w:hAnsi="Calibri" w:cs="Calibri"/>
          <w:i/>
          <w:color w:val="002060"/>
          <w:szCs w:val="20"/>
        </w:rPr>
        <w:t>Comm. cod. civ</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A. Scialoja</w:t>
      </w:r>
      <w:r w:rsidRPr="009412D0">
        <w:rPr>
          <w:rFonts w:ascii="Calibri" w:hAnsi="Calibri" w:cs="Calibri"/>
          <w:color w:val="002060"/>
          <w:szCs w:val="20"/>
        </w:rPr>
        <w:t xml:space="preserve"> e G. </w:t>
      </w:r>
      <w:r w:rsidRPr="009412D0">
        <w:rPr>
          <w:rFonts w:ascii="Calibri" w:eastAsia="Calibri" w:hAnsi="Calibri" w:cs="Calibri"/>
          <w:smallCaps/>
          <w:color w:val="002060"/>
          <w:szCs w:val="20"/>
          <w:lang w:val="x-none" w:eastAsia="x-none"/>
        </w:rPr>
        <w:t>Branca</w:t>
      </w:r>
      <w:r w:rsidRPr="009412D0">
        <w:rPr>
          <w:rFonts w:ascii="Calibri" w:hAnsi="Calibri" w:cs="Calibri"/>
          <w:color w:val="002060"/>
          <w:szCs w:val="20"/>
        </w:rPr>
        <w:t xml:space="preserve"> (già diretto da), </w:t>
      </w:r>
      <w:r w:rsidRPr="009412D0">
        <w:rPr>
          <w:rFonts w:ascii="Calibri" w:eastAsia="Calibri" w:hAnsi="Calibri" w:cs="Calibri"/>
          <w:smallCaps/>
          <w:color w:val="002060"/>
          <w:szCs w:val="20"/>
          <w:lang w:val="x-none" w:eastAsia="x-none"/>
        </w:rPr>
        <w:t>F. Galgano</w:t>
      </w:r>
      <w:r w:rsidRPr="009412D0">
        <w:rPr>
          <w:rFonts w:ascii="Calibri" w:hAnsi="Calibri" w:cs="Calibri"/>
          <w:color w:val="002060"/>
          <w:szCs w:val="20"/>
        </w:rPr>
        <w:t xml:space="preserve"> (a cura di), Bologna-Roma, 1982, 73 e 75: «il legislatore, quando discorre di accettazione del debitore lo equipara, sia pure ai fini dell’efficacia della cessione nei confronti del debitore stesso, alla semplice conoscenza di quest’ultimo; (…). L’atto giuridico dell’accettazione dell’avvenuta cessione ha natura quindi di dichiarazione di scienza (…)»; vedi pure, </w:t>
      </w:r>
      <w:r w:rsidRPr="009412D0">
        <w:rPr>
          <w:rFonts w:ascii="Calibri" w:eastAsia="Calibri" w:hAnsi="Calibri" w:cs="Calibri"/>
          <w:smallCaps/>
          <w:color w:val="002060"/>
          <w:szCs w:val="20"/>
          <w:lang w:val="x-none" w:eastAsia="x-none"/>
        </w:rPr>
        <w:t>Id</w:t>
      </w:r>
      <w:r w:rsidRPr="009412D0">
        <w:rPr>
          <w:rFonts w:ascii="Calibri" w:hAnsi="Calibri" w:cs="Calibri"/>
          <w:color w:val="002060"/>
          <w:szCs w:val="20"/>
        </w:rPr>
        <w:t xml:space="preserve">., </w:t>
      </w:r>
      <w:r w:rsidRPr="009412D0">
        <w:rPr>
          <w:rFonts w:ascii="Calibri" w:hAnsi="Calibri" w:cs="Calibri"/>
          <w:i/>
          <w:color w:val="002060"/>
          <w:szCs w:val="20"/>
        </w:rPr>
        <w:t>Dei modi di estinzione dell’obbligazione diversi dall’adempimento</w:t>
      </w:r>
      <w:r w:rsidRPr="009412D0">
        <w:rPr>
          <w:rFonts w:ascii="Calibri" w:hAnsi="Calibri" w:cs="Calibri"/>
          <w:color w:val="002060"/>
          <w:szCs w:val="20"/>
        </w:rPr>
        <w:t xml:space="preserve">, in </w:t>
      </w:r>
      <w:r w:rsidRPr="009412D0">
        <w:rPr>
          <w:rFonts w:ascii="Calibri" w:hAnsi="Calibri" w:cs="Calibri"/>
          <w:i/>
          <w:color w:val="002060"/>
          <w:szCs w:val="20"/>
        </w:rPr>
        <w:t>Comm. cod. civ</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A. Scialoja</w:t>
      </w:r>
      <w:r w:rsidRPr="009412D0">
        <w:rPr>
          <w:rFonts w:ascii="Calibri" w:hAnsi="Calibri" w:cs="Calibri"/>
          <w:color w:val="002060"/>
          <w:szCs w:val="20"/>
        </w:rPr>
        <w:t xml:space="preserve"> e G. </w:t>
      </w:r>
      <w:r w:rsidRPr="009412D0">
        <w:rPr>
          <w:rFonts w:ascii="Calibri" w:eastAsia="Calibri" w:hAnsi="Calibri" w:cs="Calibri"/>
          <w:smallCaps/>
          <w:color w:val="002060"/>
          <w:szCs w:val="20"/>
          <w:lang w:val="x-none" w:eastAsia="x-none"/>
        </w:rPr>
        <w:t>Branca</w:t>
      </w:r>
      <w:r w:rsidRPr="009412D0">
        <w:rPr>
          <w:rFonts w:ascii="Calibri" w:hAnsi="Calibri" w:cs="Calibri"/>
          <w:color w:val="002060"/>
          <w:szCs w:val="20"/>
        </w:rPr>
        <w:t xml:space="preserve"> (diretto da), Bologna-Roma, 1975, 143; </w:t>
      </w:r>
      <w:r w:rsidRPr="009412D0">
        <w:rPr>
          <w:rFonts w:ascii="Calibri" w:eastAsia="Calibri" w:hAnsi="Calibri" w:cs="Calibri"/>
          <w:smallCaps/>
          <w:color w:val="002060"/>
          <w:szCs w:val="20"/>
          <w:lang w:val="x-none" w:eastAsia="x-none"/>
        </w:rPr>
        <w:t>Id</w:t>
      </w:r>
      <w:r w:rsidRPr="009412D0">
        <w:rPr>
          <w:rFonts w:ascii="Calibri" w:hAnsi="Calibri" w:cs="Calibri"/>
          <w:color w:val="002060"/>
          <w:szCs w:val="20"/>
        </w:rPr>
        <w:t xml:space="preserve">., </w:t>
      </w:r>
      <w:r w:rsidRPr="009412D0">
        <w:rPr>
          <w:rFonts w:ascii="Calibri" w:hAnsi="Calibri" w:cs="Calibri"/>
          <w:i/>
          <w:color w:val="002060"/>
          <w:szCs w:val="20"/>
        </w:rPr>
        <w:t>Cessione del credito</w:t>
      </w:r>
      <w:r w:rsidRPr="009412D0">
        <w:rPr>
          <w:rFonts w:ascii="Calibri" w:hAnsi="Calibri" w:cs="Calibri"/>
          <w:color w:val="002060"/>
          <w:szCs w:val="20"/>
        </w:rPr>
        <w:t xml:space="preserve">, in </w:t>
      </w:r>
      <w:r w:rsidRPr="009412D0">
        <w:rPr>
          <w:rFonts w:ascii="Calibri" w:hAnsi="Calibri" w:cs="Calibri"/>
          <w:i/>
          <w:color w:val="002060"/>
          <w:szCs w:val="20"/>
        </w:rPr>
        <w:t>Enc. dir</w:t>
      </w:r>
      <w:r w:rsidRPr="009412D0">
        <w:rPr>
          <w:rFonts w:ascii="Calibri" w:hAnsi="Calibri" w:cs="Calibri"/>
          <w:color w:val="002060"/>
          <w:szCs w:val="20"/>
        </w:rPr>
        <w:t xml:space="preserve">. Treccani, VI, Roma, 1988 (d’ora in poi in </w:t>
      </w:r>
      <w:r w:rsidRPr="009412D0">
        <w:rPr>
          <w:rFonts w:ascii="Calibri" w:hAnsi="Calibri" w:cs="Calibri"/>
          <w:i/>
          <w:color w:val="002060"/>
          <w:szCs w:val="20"/>
        </w:rPr>
        <w:t>Il diritto dei contratti fra persona e mercato. Problemi di diritto civile</w:t>
      </w:r>
      <w:r w:rsidRPr="009412D0">
        <w:rPr>
          <w:rFonts w:ascii="Calibri" w:hAnsi="Calibri" w:cs="Calibri"/>
          <w:color w:val="002060"/>
          <w:szCs w:val="20"/>
        </w:rPr>
        <w:t xml:space="preserve">, Napoli, 2003, 211). In particolare, l’Autorevole dottrina in commento (in </w:t>
      </w:r>
      <w:r w:rsidRPr="009412D0">
        <w:rPr>
          <w:rFonts w:ascii="Calibri" w:eastAsia="Calibri" w:hAnsi="Calibri" w:cs="Calibri"/>
          <w:smallCaps/>
          <w:color w:val="002060"/>
          <w:szCs w:val="20"/>
          <w:lang w:val="x-none" w:eastAsia="x-none"/>
        </w:rPr>
        <w:t>Id (</w:t>
      </w:r>
      <w:r w:rsidRPr="009412D0">
        <w:rPr>
          <w:rFonts w:ascii="Calibri" w:hAnsi="Calibri" w:cs="Calibri"/>
          <w:color w:val="002060"/>
          <w:szCs w:val="20"/>
        </w:rPr>
        <w:t xml:space="preserve">a cura di), </w:t>
      </w:r>
      <w:r w:rsidRPr="009412D0">
        <w:rPr>
          <w:rFonts w:ascii="Calibri" w:hAnsi="Calibri" w:cs="Calibri"/>
          <w:i/>
          <w:color w:val="002060"/>
          <w:szCs w:val="20"/>
        </w:rPr>
        <w:t>Art. 1264</w:t>
      </w:r>
      <w:r w:rsidRPr="009412D0">
        <w:rPr>
          <w:rFonts w:ascii="Calibri" w:hAnsi="Calibri" w:cs="Calibri"/>
          <w:color w:val="002060"/>
          <w:szCs w:val="20"/>
        </w:rPr>
        <w:t xml:space="preserve">, in </w:t>
      </w:r>
      <w:r w:rsidRPr="009412D0">
        <w:rPr>
          <w:rFonts w:ascii="Calibri" w:hAnsi="Calibri" w:cs="Calibri"/>
          <w:i/>
          <w:color w:val="002060"/>
          <w:szCs w:val="20"/>
        </w:rPr>
        <w:t>Cod. civ. annotato con la dottrina e la giurisprudenza</w:t>
      </w:r>
      <w:r w:rsidRPr="009412D0">
        <w:rPr>
          <w:rFonts w:ascii="Calibri" w:hAnsi="Calibri" w:cs="Calibri"/>
          <w:color w:val="002060"/>
          <w:szCs w:val="20"/>
        </w:rPr>
        <w:t xml:space="preserve">, Torino, 1980, 135-136) precisa che «In alcune ipotesi si avrebbe un vero e proprio riconoscimento del debito (il ceduto potrebbe accettare dicendo “riconosco il mio debito verso il cedente” oppure “a </w:t>
      </w:r>
      <w:proofErr w:type="spellStart"/>
      <w:r w:rsidRPr="009412D0">
        <w:rPr>
          <w:rFonts w:ascii="Calibri" w:hAnsi="Calibri" w:cs="Calibri"/>
          <w:color w:val="002060"/>
          <w:szCs w:val="20"/>
        </w:rPr>
        <w:t>sèguito</w:t>
      </w:r>
      <w:proofErr w:type="spellEnd"/>
      <w:r w:rsidRPr="009412D0">
        <w:rPr>
          <w:rFonts w:ascii="Calibri" w:hAnsi="Calibri" w:cs="Calibri"/>
          <w:color w:val="002060"/>
          <w:szCs w:val="20"/>
        </w:rPr>
        <w:t xml:space="preserve"> della cessione del credito, mi riconosco debitore del cessionario”), non rinvenibile, però, nella forma più classica di accettazione della cessione (prendo atto della cessione dal cedente, mio creditore, al cessionario; o, più semplicemente con l’espressione “per accettazione” seguita dalla firma).».</w:t>
      </w:r>
    </w:p>
    <w:p w:rsidR="00D940D8" w:rsidRPr="009412D0" w:rsidRDefault="00D940D8" w:rsidP="00D940D8">
      <w:pPr>
        <w:spacing w:line="240" w:lineRule="auto"/>
        <w:ind w:left="567" w:firstLine="0"/>
        <w:rPr>
          <w:rFonts w:ascii="Calibri" w:hAnsi="Calibri" w:cs="Calibri"/>
          <w:color w:val="002060"/>
          <w:szCs w:val="20"/>
        </w:rPr>
      </w:pPr>
      <w:r w:rsidRPr="009412D0">
        <w:rPr>
          <w:rFonts w:ascii="Calibri" w:hAnsi="Calibri" w:cs="Calibri"/>
          <w:color w:val="002060"/>
          <w:szCs w:val="20"/>
        </w:rPr>
        <w:t xml:space="preserve">Nel solco di questo orientamento, </w:t>
      </w:r>
      <w:r w:rsidRPr="009412D0">
        <w:rPr>
          <w:rFonts w:ascii="Calibri" w:eastAsia="Calibri" w:hAnsi="Calibri" w:cs="Calibri"/>
          <w:smallCaps/>
          <w:color w:val="002060"/>
          <w:szCs w:val="20"/>
          <w:lang w:val="x-none" w:eastAsia="x-none"/>
        </w:rPr>
        <w:t>U. Breccia</w:t>
      </w:r>
      <w:r w:rsidRPr="009412D0">
        <w:rPr>
          <w:rFonts w:ascii="Calibri" w:hAnsi="Calibri" w:cs="Calibri"/>
          <w:color w:val="002060"/>
          <w:szCs w:val="20"/>
        </w:rPr>
        <w:t xml:space="preserve">, </w:t>
      </w:r>
      <w:r w:rsidRPr="009412D0">
        <w:rPr>
          <w:rFonts w:ascii="Calibri" w:hAnsi="Calibri" w:cs="Calibri"/>
          <w:i/>
          <w:color w:val="002060"/>
          <w:szCs w:val="20"/>
        </w:rPr>
        <w:t>Le obbligazioni</w:t>
      </w:r>
      <w:r w:rsidRPr="009412D0">
        <w:rPr>
          <w:rFonts w:ascii="Calibri" w:hAnsi="Calibri" w:cs="Calibri"/>
          <w:color w:val="002060"/>
          <w:szCs w:val="20"/>
        </w:rPr>
        <w:t xml:space="preserve">, in </w:t>
      </w:r>
      <w:proofErr w:type="spellStart"/>
      <w:r w:rsidRPr="009412D0">
        <w:rPr>
          <w:rFonts w:ascii="Calibri" w:hAnsi="Calibri" w:cs="Calibri"/>
          <w:i/>
          <w:color w:val="002060"/>
          <w:szCs w:val="20"/>
        </w:rPr>
        <w:t>Tratt</w:t>
      </w:r>
      <w:proofErr w:type="spellEnd"/>
      <w:r w:rsidRPr="009412D0">
        <w:rPr>
          <w:rFonts w:ascii="Calibri" w:hAnsi="Calibri" w:cs="Calibri"/>
          <w:i/>
          <w:color w:val="002060"/>
          <w:szCs w:val="20"/>
        </w:rPr>
        <w:t>. dir. civ</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G. Iudica</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P. Zatti</w:t>
      </w:r>
      <w:r w:rsidRPr="009412D0">
        <w:rPr>
          <w:rFonts w:ascii="Calibri" w:hAnsi="Calibri" w:cs="Calibri"/>
          <w:color w:val="002060"/>
          <w:szCs w:val="20"/>
        </w:rPr>
        <w:t xml:space="preserve"> (a cura di), Milano, 1991, 781. Già, così, </w:t>
      </w:r>
      <w:r w:rsidRPr="009412D0">
        <w:rPr>
          <w:rFonts w:ascii="Calibri" w:eastAsia="Calibri" w:hAnsi="Calibri" w:cs="Calibri"/>
          <w:smallCaps/>
          <w:color w:val="002060"/>
          <w:szCs w:val="20"/>
          <w:lang w:val="x-none" w:eastAsia="x-none"/>
        </w:rPr>
        <w:t>F. Marani</w:t>
      </w:r>
      <w:r w:rsidRPr="009412D0">
        <w:rPr>
          <w:rFonts w:ascii="Calibri" w:hAnsi="Calibri" w:cs="Calibri"/>
          <w:color w:val="002060"/>
          <w:szCs w:val="20"/>
        </w:rPr>
        <w:t xml:space="preserve">, </w:t>
      </w:r>
      <w:r w:rsidRPr="009412D0">
        <w:rPr>
          <w:rFonts w:ascii="Calibri" w:hAnsi="Calibri" w:cs="Calibri"/>
          <w:i/>
          <w:color w:val="002060"/>
          <w:szCs w:val="20"/>
        </w:rPr>
        <w:t>Notifica, accettazione e buona fede nella cessione dei crediti</w:t>
      </w:r>
      <w:r w:rsidRPr="009412D0">
        <w:rPr>
          <w:rFonts w:ascii="Calibri" w:hAnsi="Calibri" w:cs="Calibri"/>
          <w:color w:val="002060"/>
          <w:szCs w:val="20"/>
        </w:rPr>
        <w:t xml:space="preserve">, Modena, 1977, 232: «Anche gli effetti dell’accettazione previsti dall’art. 1264 non diversi da quelli di una semplice conoscenza: ciò significa che dall’accettazione non deriva un’inversione dell’onere della priva circa </w:t>
      </w:r>
      <w:r w:rsidRPr="009412D0">
        <w:rPr>
          <w:rFonts w:ascii="Calibri" w:hAnsi="Calibri" w:cs="Calibri"/>
          <w:i/>
          <w:color w:val="002060"/>
          <w:szCs w:val="20"/>
        </w:rPr>
        <w:t xml:space="preserve">la esistenza </w:t>
      </w:r>
      <w:r w:rsidRPr="009412D0">
        <w:rPr>
          <w:rFonts w:ascii="Calibri" w:hAnsi="Calibri" w:cs="Calibri"/>
          <w:color w:val="002060"/>
          <w:szCs w:val="20"/>
        </w:rPr>
        <w:t xml:space="preserve">della cessione, ma solo una liberazione, per il cessionario, dall’onere della prova della </w:t>
      </w:r>
      <w:r w:rsidRPr="009412D0">
        <w:rPr>
          <w:rFonts w:ascii="Calibri" w:hAnsi="Calibri" w:cs="Calibri"/>
          <w:i/>
          <w:color w:val="002060"/>
          <w:szCs w:val="20"/>
        </w:rPr>
        <w:t xml:space="preserve">conoscenza </w:t>
      </w:r>
      <w:r w:rsidRPr="009412D0">
        <w:rPr>
          <w:rFonts w:ascii="Calibri" w:hAnsi="Calibri" w:cs="Calibri"/>
          <w:color w:val="002060"/>
          <w:szCs w:val="20"/>
        </w:rPr>
        <w:t xml:space="preserve">o della comunicazione dell’avvenuta cessione (…)». Ancora, cfr., </w:t>
      </w:r>
      <w:r w:rsidRPr="009412D0">
        <w:rPr>
          <w:rFonts w:ascii="Calibri" w:eastAsia="Calibri" w:hAnsi="Calibri" w:cs="Calibri"/>
          <w:smallCaps/>
          <w:color w:val="002060"/>
          <w:szCs w:val="20"/>
          <w:lang w:val="x-none" w:eastAsia="x-none"/>
        </w:rPr>
        <w:t xml:space="preserve">L. </w:t>
      </w:r>
      <w:proofErr w:type="spellStart"/>
      <w:r w:rsidRPr="009412D0">
        <w:rPr>
          <w:rFonts w:ascii="Calibri" w:eastAsia="Calibri" w:hAnsi="Calibri" w:cs="Calibri"/>
          <w:smallCaps/>
          <w:color w:val="002060"/>
          <w:szCs w:val="20"/>
          <w:lang w:val="x-none" w:eastAsia="x-none"/>
        </w:rPr>
        <w:t>Bigliazzi</w:t>
      </w:r>
      <w:proofErr w:type="spellEnd"/>
      <w:r w:rsidRPr="009412D0">
        <w:rPr>
          <w:rFonts w:ascii="Calibri" w:eastAsia="Calibri" w:hAnsi="Calibri" w:cs="Calibri"/>
          <w:smallCaps/>
          <w:color w:val="002060"/>
          <w:szCs w:val="20"/>
          <w:lang w:val="x-none" w:eastAsia="x-none"/>
        </w:rPr>
        <w:t xml:space="preserve"> Geri</w:t>
      </w:r>
      <w:r w:rsidRPr="009412D0">
        <w:rPr>
          <w:rFonts w:ascii="Calibri" w:hAnsi="Calibri" w:cs="Calibri"/>
          <w:color w:val="002060"/>
          <w:szCs w:val="20"/>
        </w:rPr>
        <w:t xml:space="preserve">, </w:t>
      </w:r>
      <w:r w:rsidRPr="009412D0">
        <w:rPr>
          <w:rFonts w:ascii="Calibri" w:hAnsi="Calibri" w:cs="Calibri"/>
          <w:i/>
          <w:color w:val="002060"/>
          <w:szCs w:val="20"/>
        </w:rPr>
        <w:t>Osservazioni in tema di buona fede e diligenza nel pagamento al creditore apparente (con particolare riferimento alla cessione dei crediti)</w:t>
      </w:r>
      <w:r w:rsidRPr="009412D0">
        <w:rPr>
          <w:rFonts w:ascii="Calibri" w:hAnsi="Calibri" w:cs="Calibri"/>
          <w:color w:val="002060"/>
          <w:szCs w:val="20"/>
        </w:rPr>
        <w:t xml:space="preserve">, in </w:t>
      </w:r>
      <w:r w:rsidRPr="009412D0">
        <w:rPr>
          <w:rFonts w:ascii="Calibri" w:hAnsi="Calibri" w:cs="Calibri"/>
          <w:i/>
          <w:color w:val="002060"/>
          <w:szCs w:val="20"/>
        </w:rPr>
        <w:t xml:space="preserve">Riv. trim. dir. </w:t>
      </w:r>
      <w:proofErr w:type="spellStart"/>
      <w:r w:rsidRPr="009412D0">
        <w:rPr>
          <w:rFonts w:ascii="Calibri" w:hAnsi="Calibri" w:cs="Calibri"/>
          <w:i/>
          <w:color w:val="002060"/>
          <w:szCs w:val="20"/>
        </w:rPr>
        <w:t>proc</w:t>
      </w:r>
      <w:proofErr w:type="spellEnd"/>
      <w:r w:rsidRPr="009412D0">
        <w:rPr>
          <w:rFonts w:ascii="Calibri" w:hAnsi="Calibri" w:cs="Calibri"/>
          <w:i/>
          <w:color w:val="002060"/>
          <w:szCs w:val="20"/>
        </w:rPr>
        <w:t>. civ</w:t>
      </w:r>
      <w:r w:rsidRPr="009412D0">
        <w:rPr>
          <w:rFonts w:ascii="Calibri" w:hAnsi="Calibri" w:cs="Calibri"/>
          <w:color w:val="002060"/>
          <w:szCs w:val="20"/>
        </w:rPr>
        <w:t xml:space="preserve">., 1968, 1326 ss.; </w:t>
      </w:r>
      <w:r w:rsidRPr="009412D0">
        <w:rPr>
          <w:rFonts w:ascii="Calibri" w:eastAsia="Calibri" w:hAnsi="Calibri" w:cs="Calibri"/>
          <w:smallCaps/>
          <w:color w:val="002060"/>
          <w:szCs w:val="20"/>
          <w:lang w:val="x-none" w:eastAsia="x-none"/>
        </w:rPr>
        <w:t>R. Miccio</w:t>
      </w:r>
      <w:r w:rsidRPr="009412D0">
        <w:rPr>
          <w:rFonts w:ascii="Calibri" w:hAnsi="Calibri" w:cs="Calibri"/>
          <w:color w:val="002060"/>
          <w:szCs w:val="20"/>
        </w:rPr>
        <w:t xml:space="preserve">, </w:t>
      </w:r>
      <w:r w:rsidRPr="009412D0">
        <w:rPr>
          <w:rFonts w:ascii="Calibri" w:hAnsi="Calibri" w:cs="Calibri"/>
          <w:i/>
          <w:color w:val="002060"/>
          <w:szCs w:val="20"/>
        </w:rPr>
        <w:t>I diritti di credito</w:t>
      </w:r>
      <w:r w:rsidRPr="009412D0">
        <w:rPr>
          <w:rFonts w:ascii="Calibri" w:hAnsi="Calibri" w:cs="Calibri"/>
          <w:color w:val="002060"/>
          <w:szCs w:val="20"/>
        </w:rPr>
        <w:t xml:space="preserve">, I, Torino, 1971, 434. </w:t>
      </w:r>
    </w:p>
    <w:p w:rsidR="00D940D8" w:rsidRPr="009412D0" w:rsidRDefault="00D940D8" w:rsidP="00D940D8">
      <w:pPr>
        <w:spacing w:line="240" w:lineRule="auto"/>
        <w:ind w:left="567" w:firstLine="0"/>
        <w:rPr>
          <w:rFonts w:ascii="Calibri" w:hAnsi="Calibri" w:cs="Calibri"/>
          <w:color w:val="002060"/>
          <w:szCs w:val="20"/>
        </w:rPr>
      </w:pPr>
      <w:r w:rsidRPr="009412D0">
        <w:rPr>
          <w:rFonts w:ascii="Calibri" w:hAnsi="Calibri" w:cs="Calibri"/>
          <w:color w:val="002060"/>
          <w:szCs w:val="20"/>
        </w:rPr>
        <w:lastRenderedPageBreak/>
        <w:t xml:space="preserve">Più di recente, </w:t>
      </w:r>
      <w:r w:rsidRPr="009412D0">
        <w:rPr>
          <w:rFonts w:ascii="Calibri" w:eastAsia="Calibri" w:hAnsi="Calibri" w:cs="Calibri"/>
          <w:smallCaps/>
          <w:color w:val="002060"/>
          <w:szCs w:val="20"/>
          <w:lang w:val="x-none" w:eastAsia="x-none"/>
        </w:rPr>
        <w:t xml:space="preserve">B. </w:t>
      </w:r>
      <w:proofErr w:type="spellStart"/>
      <w:r w:rsidRPr="009412D0">
        <w:rPr>
          <w:rFonts w:ascii="Calibri" w:eastAsia="Calibri" w:hAnsi="Calibri" w:cs="Calibri"/>
          <w:smallCaps/>
          <w:color w:val="002060"/>
          <w:szCs w:val="20"/>
          <w:lang w:val="x-none" w:eastAsia="x-none"/>
        </w:rPr>
        <w:t>Quatraro</w:t>
      </w:r>
      <w:proofErr w:type="spellEnd"/>
      <w:r w:rsidRPr="009412D0">
        <w:rPr>
          <w:rFonts w:ascii="Calibri" w:eastAsia="Calibri" w:hAnsi="Calibri" w:cs="Calibri"/>
          <w:smallCaps/>
          <w:color w:val="002060"/>
          <w:szCs w:val="20"/>
          <w:lang w:val="x-none" w:eastAsia="x-none"/>
        </w:rPr>
        <w:t xml:space="preserve">, M. </w:t>
      </w:r>
      <w:proofErr w:type="spellStart"/>
      <w:r w:rsidRPr="009412D0">
        <w:rPr>
          <w:rFonts w:ascii="Calibri" w:eastAsia="Calibri" w:hAnsi="Calibri" w:cs="Calibri"/>
          <w:smallCaps/>
          <w:color w:val="002060"/>
          <w:szCs w:val="20"/>
          <w:lang w:val="x-none" w:eastAsia="x-none"/>
        </w:rPr>
        <w:t>Giorgetti</w:t>
      </w:r>
      <w:proofErr w:type="spellEnd"/>
      <w:r w:rsidRPr="009412D0">
        <w:rPr>
          <w:rFonts w:ascii="Calibri" w:eastAsia="Calibri" w:hAnsi="Calibri" w:cs="Calibri"/>
          <w:smallCaps/>
          <w:color w:val="002060"/>
          <w:szCs w:val="20"/>
          <w:lang w:val="x-none" w:eastAsia="x-none"/>
        </w:rPr>
        <w:t xml:space="preserve"> e A. Fumagalli</w:t>
      </w:r>
      <w:r w:rsidRPr="009412D0">
        <w:rPr>
          <w:rFonts w:ascii="Calibri" w:hAnsi="Calibri" w:cs="Calibri"/>
          <w:color w:val="002060"/>
          <w:szCs w:val="20"/>
        </w:rPr>
        <w:t xml:space="preserve">, </w:t>
      </w:r>
      <w:r w:rsidRPr="009412D0">
        <w:rPr>
          <w:rFonts w:ascii="Calibri" w:hAnsi="Calibri" w:cs="Calibri"/>
          <w:i/>
          <w:color w:val="002060"/>
          <w:szCs w:val="20"/>
        </w:rPr>
        <w:t>Revocatoria ordinaria e fallimentare Azione surrogatoria</w:t>
      </w:r>
      <w:r w:rsidRPr="009412D0">
        <w:rPr>
          <w:rFonts w:ascii="Calibri" w:hAnsi="Calibri" w:cs="Calibri"/>
          <w:color w:val="002060"/>
          <w:szCs w:val="20"/>
        </w:rPr>
        <w:t xml:space="preserve">, t. I, Milano, 2009, 337: «Secondo un’opinione, trattasi non di dichiarazione, ma di atto negoziale e precisamente di riconoscimento di debito; in senso contrario, altra dottrina che parla di “presa d’atto”, cioè d’ammissione del solo ricevimento della comunicazione della cessione, senza volontà alcuna di riconoscere l’esistenza del debito (opinione, a mio avviso, preferibile)». Ancora, </w:t>
      </w:r>
      <w:r w:rsidRPr="009412D0">
        <w:rPr>
          <w:rFonts w:ascii="Calibri" w:eastAsia="Calibri" w:hAnsi="Calibri" w:cs="Calibri"/>
          <w:smallCaps/>
          <w:color w:val="002060"/>
          <w:szCs w:val="20"/>
          <w:lang w:val="x-none" w:eastAsia="x-none"/>
        </w:rPr>
        <w:t>R. Calvo</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 xml:space="preserve">A. </w:t>
      </w:r>
      <w:proofErr w:type="spellStart"/>
      <w:r w:rsidRPr="009412D0">
        <w:rPr>
          <w:rFonts w:ascii="Calibri" w:eastAsia="Calibri" w:hAnsi="Calibri" w:cs="Calibri"/>
          <w:smallCaps/>
          <w:color w:val="002060"/>
          <w:szCs w:val="20"/>
          <w:lang w:val="x-none" w:eastAsia="x-none"/>
        </w:rPr>
        <w:t>Ciatti</w:t>
      </w:r>
      <w:proofErr w:type="spellEnd"/>
      <w:r w:rsidRPr="009412D0">
        <w:rPr>
          <w:rFonts w:ascii="Calibri" w:hAnsi="Calibri" w:cs="Calibri"/>
          <w:color w:val="002060"/>
          <w:szCs w:val="20"/>
        </w:rPr>
        <w:t xml:space="preserve">, </w:t>
      </w:r>
      <w:r w:rsidRPr="009412D0">
        <w:rPr>
          <w:rFonts w:ascii="Calibri" w:hAnsi="Calibri" w:cs="Calibri"/>
          <w:i/>
          <w:color w:val="002060"/>
          <w:szCs w:val="20"/>
        </w:rPr>
        <w:t>Istituzioni di diritto civile</w:t>
      </w:r>
      <w:r w:rsidRPr="009412D0">
        <w:rPr>
          <w:rFonts w:ascii="Calibri" w:hAnsi="Calibri" w:cs="Calibri"/>
          <w:color w:val="002060"/>
          <w:szCs w:val="20"/>
        </w:rPr>
        <w:t xml:space="preserve">, Milano, 2011, t. I, 239: «chi acquista il credito può far dichiarare al debitore di essere a conoscenza della cessione (si tratta di una dichiarazione di scienza che ha valore di confessione stragiudiziale». </w:t>
      </w:r>
    </w:p>
    <w:p w:rsidR="00D940D8" w:rsidRPr="009412D0" w:rsidRDefault="00D940D8" w:rsidP="00D940D8">
      <w:pPr>
        <w:spacing w:line="240" w:lineRule="auto"/>
        <w:ind w:left="567" w:firstLine="0"/>
        <w:rPr>
          <w:rFonts w:ascii="Calibri" w:hAnsi="Calibri" w:cs="Calibri"/>
          <w:color w:val="002060"/>
          <w:szCs w:val="20"/>
        </w:rPr>
      </w:pPr>
      <w:r w:rsidRPr="009412D0">
        <w:rPr>
          <w:rFonts w:ascii="Calibri" w:hAnsi="Calibri" w:cs="Calibri"/>
          <w:color w:val="002060"/>
          <w:szCs w:val="20"/>
        </w:rPr>
        <w:t xml:space="preserve">Per la dottrina più risalente, </w:t>
      </w:r>
      <w:r w:rsidRPr="009412D0">
        <w:rPr>
          <w:rFonts w:ascii="Calibri" w:eastAsia="Calibri" w:hAnsi="Calibri" w:cs="Calibri"/>
          <w:smallCaps/>
          <w:color w:val="002060"/>
          <w:szCs w:val="20"/>
          <w:lang w:val="x-none" w:eastAsia="x-none"/>
        </w:rPr>
        <w:t>L. Barassi</w:t>
      </w:r>
      <w:r w:rsidRPr="009412D0">
        <w:rPr>
          <w:rFonts w:ascii="Calibri" w:hAnsi="Calibri" w:cs="Calibri"/>
          <w:color w:val="002060"/>
          <w:szCs w:val="20"/>
        </w:rPr>
        <w:t xml:space="preserve">, </w:t>
      </w:r>
      <w:r w:rsidRPr="009412D0">
        <w:rPr>
          <w:rFonts w:ascii="Calibri" w:hAnsi="Calibri" w:cs="Calibri"/>
          <w:i/>
          <w:color w:val="002060"/>
          <w:szCs w:val="20"/>
        </w:rPr>
        <w:t>La teoria generale delle obbligazioni</w:t>
      </w:r>
      <w:r w:rsidRPr="009412D0">
        <w:rPr>
          <w:rFonts w:ascii="Calibri" w:hAnsi="Calibri" w:cs="Calibri"/>
          <w:color w:val="002060"/>
          <w:szCs w:val="20"/>
        </w:rPr>
        <w:t xml:space="preserve">, I, Milano, 1948, 298: «Io credo che possa accogliersi l’opinione meno rigida, che consente una semplice dichiarazione di conoscenza: con l’effetto che il debitore non possa più pagare al cedente (a questo solamente mira l’art. 1264), ma non con l’ulteriore effetto di disarmare il debitore di fronte al creditore nuovo»; </w:t>
      </w:r>
      <w:r w:rsidRPr="009412D0">
        <w:rPr>
          <w:rFonts w:ascii="Calibri" w:eastAsia="Calibri" w:hAnsi="Calibri" w:cs="Calibri"/>
          <w:smallCaps/>
          <w:color w:val="002060"/>
          <w:szCs w:val="20"/>
          <w:lang w:val="x-none" w:eastAsia="x-none"/>
        </w:rPr>
        <w:t>F. Pellegrini</w:t>
      </w:r>
      <w:r w:rsidRPr="009412D0">
        <w:rPr>
          <w:rFonts w:ascii="Calibri" w:hAnsi="Calibri" w:cs="Calibri"/>
          <w:color w:val="002060"/>
          <w:szCs w:val="20"/>
        </w:rPr>
        <w:t xml:space="preserve">, </w:t>
      </w:r>
      <w:r w:rsidRPr="009412D0">
        <w:rPr>
          <w:rFonts w:ascii="Calibri" w:hAnsi="Calibri" w:cs="Calibri"/>
          <w:i/>
          <w:color w:val="002060"/>
          <w:szCs w:val="20"/>
        </w:rPr>
        <w:t>Della cessione dei crediti</w:t>
      </w:r>
      <w:r w:rsidRPr="009412D0">
        <w:rPr>
          <w:rFonts w:ascii="Calibri" w:hAnsi="Calibri" w:cs="Calibri"/>
          <w:color w:val="002060"/>
          <w:szCs w:val="20"/>
        </w:rPr>
        <w:t xml:space="preserve">, in </w:t>
      </w:r>
      <w:r w:rsidRPr="009412D0">
        <w:rPr>
          <w:rFonts w:ascii="Calibri" w:hAnsi="Calibri" w:cs="Calibri"/>
          <w:i/>
          <w:color w:val="002060"/>
          <w:szCs w:val="20"/>
        </w:rPr>
        <w:t>Comm. cod. civ</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M. D’Amelio</w:t>
      </w:r>
      <w:r w:rsidRPr="009412D0">
        <w:rPr>
          <w:rFonts w:ascii="Calibri" w:hAnsi="Calibri" w:cs="Calibri"/>
          <w:color w:val="002060"/>
          <w:szCs w:val="20"/>
        </w:rPr>
        <w:t xml:space="preserve"> e </w:t>
      </w:r>
      <w:proofErr w:type="spellStart"/>
      <w:r w:rsidRPr="009412D0">
        <w:rPr>
          <w:rFonts w:ascii="Calibri" w:eastAsia="Calibri" w:hAnsi="Calibri" w:cs="Calibri"/>
          <w:smallCaps/>
          <w:color w:val="002060"/>
          <w:szCs w:val="20"/>
          <w:lang w:val="x-none" w:eastAsia="x-none"/>
        </w:rPr>
        <w:t>E</w:t>
      </w:r>
      <w:proofErr w:type="spellEnd"/>
      <w:r w:rsidRPr="009412D0">
        <w:rPr>
          <w:rFonts w:ascii="Calibri" w:eastAsia="Calibri" w:hAnsi="Calibri" w:cs="Calibri"/>
          <w:smallCaps/>
          <w:color w:val="002060"/>
          <w:szCs w:val="20"/>
          <w:lang w:val="x-none" w:eastAsia="x-none"/>
        </w:rPr>
        <w:t xml:space="preserve">. </w:t>
      </w:r>
      <w:proofErr w:type="spellStart"/>
      <w:r w:rsidRPr="009412D0">
        <w:rPr>
          <w:rFonts w:ascii="Calibri" w:eastAsia="Calibri" w:hAnsi="Calibri" w:cs="Calibri"/>
          <w:smallCaps/>
          <w:color w:val="002060"/>
          <w:szCs w:val="20"/>
          <w:lang w:val="x-none" w:eastAsia="x-none"/>
        </w:rPr>
        <w:t>Finzi</w:t>
      </w:r>
      <w:proofErr w:type="spellEnd"/>
      <w:r w:rsidRPr="009412D0">
        <w:rPr>
          <w:rFonts w:ascii="Calibri" w:hAnsi="Calibri" w:cs="Calibri"/>
          <w:color w:val="002060"/>
          <w:szCs w:val="20"/>
        </w:rPr>
        <w:t xml:space="preserve"> (diretto da), </w:t>
      </w:r>
      <w:r w:rsidRPr="009412D0">
        <w:rPr>
          <w:rFonts w:ascii="Calibri" w:hAnsi="Calibri" w:cs="Calibri"/>
          <w:i/>
          <w:color w:val="002060"/>
          <w:szCs w:val="20"/>
        </w:rPr>
        <w:t>Le obbligazioni</w:t>
      </w:r>
      <w:r w:rsidRPr="009412D0">
        <w:rPr>
          <w:rFonts w:ascii="Calibri" w:hAnsi="Calibri" w:cs="Calibri"/>
          <w:color w:val="002060"/>
          <w:szCs w:val="20"/>
        </w:rPr>
        <w:t xml:space="preserve">, I, Firenze, 1948, 1983; </w:t>
      </w:r>
      <w:r w:rsidRPr="009412D0">
        <w:rPr>
          <w:rFonts w:ascii="Calibri" w:eastAsia="Calibri" w:hAnsi="Calibri" w:cs="Calibri"/>
          <w:smallCaps/>
          <w:color w:val="002060"/>
          <w:szCs w:val="20"/>
          <w:lang w:val="x-none" w:eastAsia="x-none"/>
        </w:rPr>
        <w:t>E. Betti</w:t>
      </w:r>
      <w:r w:rsidRPr="009412D0">
        <w:rPr>
          <w:rFonts w:ascii="Calibri" w:hAnsi="Calibri" w:cs="Calibri"/>
          <w:color w:val="002060"/>
          <w:szCs w:val="20"/>
        </w:rPr>
        <w:t xml:space="preserve">, </w:t>
      </w:r>
      <w:r w:rsidRPr="009412D0">
        <w:rPr>
          <w:rFonts w:ascii="Calibri" w:hAnsi="Calibri" w:cs="Calibri"/>
          <w:i/>
          <w:color w:val="002060"/>
          <w:szCs w:val="20"/>
        </w:rPr>
        <w:t>Teoria generale delle obbligazioni</w:t>
      </w:r>
      <w:r w:rsidRPr="009412D0">
        <w:rPr>
          <w:rFonts w:ascii="Calibri" w:hAnsi="Calibri" w:cs="Calibri"/>
          <w:color w:val="002060"/>
          <w:szCs w:val="20"/>
        </w:rPr>
        <w:t>, III, 2, IV, Milano, 1953-1955, 48.</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 xml:space="preserve">L. </w:t>
      </w:r>
      <w:proofErr w:type="spellStart"/>
      <w:r w:rsidRPr="009412D0">
        <w:rPr>
          <w:rFonts w:ascii="Calibri" w:eastAsia="Calibri" w:hAnsi="Calibri" w:cs="Calibri"/>
          <w:smallCaps/>
          <w:color w:val="002060"/>
          <w:szCs w:val="20"/>
          <w:lang w:val="x-none" w:eastAsia="x-none"/>
        </w:rPr>
        <w:t>Genghini</w:t>
      </w:r>
      <w:proofErr w:type="spellEnd"/>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R. Apicella</w:t>
      </w:r>
      <w:r w:rsidRPr="009412D0">
        <w:rPr>
          <w:rFonts w:ascii="Calibri" w:hAnsi="Calibri" w:cs="Calibri"/>
          <w:color w:val="002060"/>
          <w:szCs w:val="20"/>
        </w:rPr>
        <w:t xml:space="preserve">, </w:t>
      </w:r>
      <w:r w:rsidRPr="009412D0">
        <w:rPr>
          <w:rFonts w:ascii="Calibri" w:hAnsi="Calibri" w:cs="Calibri"/>
          <w:i/>
          <w:color w:val="002060"/>
          <w:szCs w:val="20"/>
        </w:rPr>
        <w:t>Le obbligazioni</w:t>
      </w:r>
      <w:r w:rsidRPr="009412D0">
        <w:rPr>
          <w:rFonts w:ascii="Calibri" w:hAnsi="Calibri" w:cs="Calibri"/>
          <w:color w:val="002060"/>
          <w:szCs w:val="20"/>
        </w:rPr>
        <w:t xml:space="preserve">, Padova, 2015, 340-341. Negli stessi termini, </w:t>
      </w:r>
      <w:r w:rsidRPr="009412D0">
        <w:rPr>
          <w:rFonts w:ascii="Calibri" w:eastAsia="Calibri" w:hAnsi="Calibri" w:cs="Calibri"/>
          <w:smallCaps/>
          <w:color w:val="002060"/>
          <w:szCs w:val="20"/>
          <w:lang w:val="x-none" w:eastAsia="x-none"/>
        </w:rPr>
        <w:t xml:space="preserve">P. </w:t>
      </w:r>
      <w:proofErr w:type="spellStart"/>
      <w:r w:rsidRPr="009412D0">
        <w:rPr>
          <w:rFonts w:ascii="Calibri" w:eastAsia="Calibri" w:hAnsi="Calibri" w:cs="Calibri"/>
          <w:smallCaps/>
          <w:color w:val="002060"/>
          <w:szCs w:val="20"/>
          <w:lang w:val="x-none" w:eastAsia="x-none"/>
        </w:rPr>
        <w:t>Perlingieri</w:t>
      </w:r>
      <w:proofErr w:type="spellEnd"/>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D. Valentino</w:t>
      </w:r>
      <w:r w:rsidRPr="009412D0">
        <w:rPr>
          <w:rFonts w:ascii="Calibri" w:hAnsi="Calibri" w:cs="Calibri"/>
          <w:color w:val="002060"/>
          <w:szCs w:val="20"/>
        </w:rPr>
        <w:t xml:space="preserve">, </w:t>
      </w:r>
      <w:r w:rsidRPr="009412D0">
        <w:rPr>
          <w:rFonts w:ascii="Calibri" w:hAnsi="Calibri" w:cs="Calibri"/>
          <w:i/>
          <w:color w:val="002060"/>
          <w:szCs w:val="20"/>
        </w:rPr>
        <w:t>Modificazioni soggettive del lato creditorio: cessione del credito</w:t>
      </w:r>
      <w:r w:rsidRPr="009412D0">
        <w:rPr>
          <w:rFonts w:ascii="Calibri" w:hAnsi="Calibri" w:cs="Calibri"/>
          <w:color w:val="002060"/>
          <w:szCs w:val="20"/>
        </w:rPr>
        <w:t xml:space="preserve">, in </w:t>
      </w:r>
      <w:r w:rsidRPr="009412D0">
        <w:rPr>
          <w:rFonts w:ascii="Calibri" w:eastAsia="Calibri" w:hAnsi="Calibri" w:cs="Calibri"/>
          <w:smallCaps/>
          <w:color w:val="002060"/>
          <w:szCs w:val="20"/>
          <w:lang w:val="x-none" w:eastAsia="x-none"/>
        </w:rPr>
        <w:t xml:space="preserve">P. </w:t>
      </w:r>
      <w:proofErr w:type="spellStart"/>
      <w:r w:rsidRPr="009412D0">
        <w:rPr>
          <w:rFonts w:ascii="Calibri" w:eastAsia="Calibri" w:hAnsi="Calibri" w:cs="Calibri"/>
          <w:smallCaps/>
          <w:color w:val="002060"/>
          <w:szCs w:val="20"/>
          <w:lang w:val="x-none" w:eastAsia="x-none"/>
        </w:rPr>
        <w:t>Perlingieri</w:t>
      </w:r>
      <w:proofErr w:type="spellEnd"/>
      <w:r w:rsidRPr="009412D0">
        <w:rPr>
          <w:rFonts w:ascii="Calibri" w:hAnsi="Calibri" w:cs="Calibri"/>
          <w:color w:val="002060"/>
          <w:szCs w:val="20"/>
        </w:rPr>
        <w:t xml:space="preserve">, </w:t>
      </w:r>
      <w:r w:rsidRPr="009412D0">
        <w:rPr>
          <w:rFonts w:ascii="Calibri" w:hAnsi="Calibri" w:cs="Calibri"/>
          <w:i/>
          <w:color w:val="002060"/>
          <w:szCs w:val="20"/>
        </w:rPr>
        <w:t>Istituzioni di diritto civile</w:t>
      </w:r>
      <w:r w:rsidRPr="009412D0">
        <w:rPr>
          <w:rFonts w:ascii="Calibri" w:hAnsi="Calibri" w:cs="Calibri"/>
          <w:color w:val="002060"/>
          <w:szCs w:val="20"/>
        </w:rPr>
        <w:t>, Napoli, 2008, 161-162: «Il debitore è obbligato nei confronti del cessionario soltanto se a conoscenza del mutamento della titolarità (1264). Tale informazione può essere fornita con lo strumento della notifica (…). Eguale funzione svolge l’accettazione del debitore, il quale in tal modo implicitamente dichiara al cessionario di conoscere l’esistenza della cessione».</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hAnsi="Calibri" w:cs="Calibri"/>
          <w:color w:val="002060"/>
          <w:szCs w:val="20"/>
        </w:rPr>
        <w:t xml:space="preserve">Così, in giurisprudenza, Cass., 18 dicembre 2007, n. 26664, in </w:t>
      </w:r>
      <w:r w:rsidRPr="009412D0">
        <w:rPr>
          <w:rFonts w:ascii="Calibri" w:hAnsi="Calibri" w:cs="Calibri"/>
          <w:i/>
          <w:color w:val="002060"/>
          <w:szCs w:val="20"/>
        </w:rPr>
        <w:t>Notariato</w:t>
      </w:r>
      <w:r w:rsidRPr="009412D0">
        <w:rPr>
          <w:rFonts w:ascii="Calibri" w:hAnsi="Calibri" w:cs="Calibri"/>
          <w:color w:val="002060"/>
          <w:szCs w:val="20"/>
        </w:rPr>
        <w:t>, 2009, 30; in</w:t>
      </w:r>
      <w:r w:rsidRPr="009412D0">
        <w:rPr>
          <w:rFonts w:ascii="Calibri" w:hAnsi="Calibri" w:cs="Calibri"/>
          <w:i/>
          <w:color w:val="002060"/>
          <w:szCs w:val="20"/>
        </w:rPr>
        <w:t xml:space="preserve"> Fallimento</w:t>
      </w:r>
      <w:r w:rsidRPr="009412D0">
        <w:rPr>
          <w:rFonts w:ascii="Calibri" w:hAnsi="Calibri" w:cs="Calibri"/>
          <w:color w:val="002060"/>
          <w:szCs w:val="20"/>
        </w:rPr>
        <w:t xml:space="preserve">, 2008, 646: «in tema di cessione del credito da un contratto di appalto, l’accettazione della cessione da parte del debitore è dichiarazione di scienza priva di contenuto e non vale in sé quale ricognizione tacita del debito. Né tale valenza può desumersi dal silenzio del debitore stesso sulla natura del credito ceduto o dalla mancata informativa al cessionario sulle ragioni della contestazione del credito, in quanto l’obbligo di diligenza </w:t>
      </w:r>
      <w:r w:rsidRPr="009412D0">
        <w:rPr>
          <w:rFonts w:ascii="Calibri" w:hAnsi="Calibri" w:cs="Calibri"/>
          <w:i/>
          <w:color w:val="002060"/>
          <w:szCs w:val="20"/>
        </w:rPr>
        <w:t>ex</w:t>
      </w:r>
      <w:r w:rsidRPr="009412D0">
        <w:rPr>
          <w:rFonts w:ascii="Calibri" w:hAnsi="Calibri" w:cs="Calibri"/>
          <w:color w:val="002060"/>
          <w:szCs w:val="20"/>
        </w:rPr>
        <w:t xml:space="preserve"> 1176 è imposto al debitore solo nell’adempimento della prestazione e non può essere esteso sino ad includere l’informazione dettagliata delle ragioni del rifiuto di adempiere»; Cass., 6 agosto 1999, n. 8485, in </w:t>
      </w:r>
      <w:r w:rsidRPr="009412D0">
        <w:rPr>
          <w:rFonts w:ascii="Calibri" w:hAnsi="Calibri" w:cs="Calibri"/>
          <w:i/>
          <w:color w:val="002060"/>
          <w:szCs w:val="20"/>
        </w:rPr>
        <w:t>Giust. civ. Mass</w:t>
      </w:r>
      <w:r w:rsidRPr="009412D0">
        <w:rPr>
          <w:rFonts w:ascii="Calibri" w:hAnsi="Calibri" w:cs="Calibri"/>
          <w:color w:val="002060"/>
          <w:szCs w:val="20"/>
        </w:rPr>
        <w:t>., 1999, 1781: «è una semplice presa di conoscenza della cessione del credito – una mera dichiarazione di scienza – che solo in taluni casi, diversi da quello di specie (come in quello di incedibilità convenzionale del credito o di eccezione di compensazione) può assumere un particolare rilievo negoziale o risolversi in un riconoscimento del debito».</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eastAsia="Calibri" w:hAnsi="Calibri" w:cs="Calibri"/>
          <w:smallCaps/>
          <w:color w:val="002060"/>
          <w:szCs w:val="20"/>
          <w:lang w:val="x-none" w:eastAsia="x-none"/>
        </w:rPr>
        <w:t xml:space="preserve">Aa. </w:t>
      </w:r>
      <w:proofErr w:type="spellStart"/>
      <w:r w:rsidRPr="009412D0">
        <w:rPr>
          <w:rFonts w:ascii="Calibri" w:eastAsia="Calibri" w:hAnsi="Calibri" w:cs="Calibri"/>
          <w:smallCaps/>
          <w:color w:val="002060"/>
          <w:szCs w:val="20"/>
          <w:lang w:val="x-none" w:eastAsia="x-none"/>
        </w:rPr>
        <w:t>Vv</w:t>
      </w:r>
      <w:proofErr w:type="spellEnd"/>
      <w:r w:rsidRPr="009412D0">
        <w:rPr>
          <w:rFonts w:ascii="Calibri" w:hAnsi="Calibri" w:cs="Calibri"/>
          <w:color w:val="002060"/>
          <w:szCs w:val="20"/>
        </w:rPr>
        <w:t xml:space="preserve">., </w:t>
      </w:r>
      <w:r w:rsidRPr="009412D0">
        <w:rPr>
          <w:rFonts w:ascii="Calibri" w:hAnsi="Calibri" w:cs="Calibri"/>
          <w:i/>
          <w:color w:val="002060"/>
          <w:szCs w:val="20"/>
        </w:rPr>
        <w:t>Le modificazioni soggettive del rapporto obbligatorio</w:t>
      </w:r>
      <w:r w:rsidRPr="009412D0">
        <w:rPr>
          <w:rFonts w:ascii="Calibri" w:hAnsi="Calibri" w:cs="Calibri"/>
          <w:color w:val="002060"/>
          <w:szCs w:val="20"/>
        </w:rPr>
        <w:t xml:space="preserve">, in </w:t>
      </w:r>
      <w:r w:rsidRPr="009412D0">
        <w:rPr>
          <w:rFonts w:ascii="Calibri" w:hAnsi="Calibri" w:cs="Calibri"/>
          <w:i/>
          <w:color w:val="002060"/>
          <w:szCs w:val="20"/>
        </w:rPr>
        <w:t>Diritto civile</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N. Lipari</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P. Rescigno</w:t>
      </w:r>
      <w:r w:rsidRPr="009412D0">
        <w:rPr>
          <w:rFonts w:ascii="Calibri" w:hAnsi="Calibri" w:cs="Calibri"/>
          <w:color w:val="002060"/>
          <w:szCs w:val="20"/>
        </w:rPr>
        <w:t xml:space="preserve"> (diretto da), </w:t>
      </w:r>
      <w:r w:rsidRPr="009412D0">
        <w:rPr>
          <w:rFonts w:ascii="Calibri" w:eastAsia="Calibri" w:hAnsi="Calibri" w:cs="Calibri"/>
          <w:smallCaps/>
          <w:color w:val="002060"/>
          <w:szCs w:val="20"/>
          <w:lang w:val="x-none" w:eastAsia="x-none"/>
        </w:rPr>
        <w:t>A. Zoppini</w:t>
      </w:r>
      <w:r w:rsidRPr="009412D0">
        <w:rPr>
          <w:rFonts w:ascii="Calibri" w:hAnsi="Calibri" w:cs="Calibri"/>
          <w:color w:val="002060"/>
          <w:szCs w:val="20"/>
        </w:rPr>
        <w:t xml:space="preserve"> (a cura di), vol. III, </w:t>
      </w:r>
      <w:r w:rsidRPr="009412D0">
        <w:rPr>
          <w:rFonts w:ascii="Calibri" w:hAnsi="Calibri" w:cs="Calibri"/>
          <w:i/>
          <w:color w:val="002060"/>
          <w:szCs w:val="20"/>
        </w:rPr>
        <w:t>Obbligazioni</w:t>
      </w:r>
      <w:r w:rsidRPr="009412D0">
        <w:rPr>
          <w:rFonts w:ascii="Calibri" w:hAnsi="Calibri" w:cs="Calibri"/>
          <w:color w:val="002060"/>
          <w:szCs w:val="20"/>
        </w:rPr>
        <w:t xml:space="preserve">, t. I, </w:t>
      </w:r>
      <w:r w:rsidRPr="009412D0">
        <w:rPr>
          <w:rFonts w:ascii="Calibri" w:hAnsi="Calibri" w:cs="Calibri"/>
          <w:i/>
          <w:color w:val="002060"/>
          <w:szCs w:val="20"/>
        </w:rPr>
        <w:t>Il rapporto obbligatorio</w:t>
      </w:r>
      <w:r w:rsidRPr="009412D0">
        <w:rPr>
          <w:rFonts w:ascii="Calibri" w:hAnsi="Calibri" w:cs="Calibri"/>
          <w:color w:val="002060"/>
          <w:szCs w:val="20"/>
        </w:rPr>
        <w:t xml:space="preserve">, Milano, 2009, 333. Così, anche, </w:t>
      </w:r>
      <w:r w:rsidRPr="009412D0">
        <w:rPr>
          <w:rFonts w:ascii="Calibri" w:eastAsia="Calibri" w:hAnsi="Calibri" w:cs="Calibri"/>
          <w:smallCaps/>
          <w:color w:val="002060"/>
          <w:szCs w:val="20"/>
          <w:lang w:val="x-none" w:eastAsia="x-none"/>
        </w:rPr>
        <w:t xml:space="preserve">G. </w:t>
      </w:r>
      <w:proofErr w:type="spellStart"/>
      <w:r w:rsidRPr="009412D0">
        <w:rPr>
          <w:rFonts w:ascii="Calibri" w:eastAsia="Calibri" w:hAnsi="Calibri" w:cs="Calibri"/>
          <w:smallCaps/>
          <w:color w:val="002060"/>
          <w:szCs w:val="20"/>
          <w:lang w:val="x-none" w:eastAsia="x-none"/>
        </w:rPr>
        <w:t>Finazzi</w:t>
      </w:r>
      <w:proofErr w:type="spellEnd"/>
      <w:r w:rsidRPr="009412D0">
        <w:rPr>
          <w:rFonts w:ascii="Calibri" w:hAnsi="Calibri" w:cs="Calibri"/>
          <w:color w:val="002060"/>
          <w:szCs w:val="20"/>
        </w:rPr>
        <w:t xml:space="preserve">, </w:t>
      </w:r>
      <w:r w:rsidRPr="009412D0">
        <w:rPr>
          <w:rFonts w:ascii="Calibri" w:hAnsi="Calibri" w:cs="Calibri"/>
          <w:i/>
          <w:color w:val="002060"/>
          <w:szCs w:val="20"/>
        </w:rPr>
        <w:t>Cessione del credito</w:t>
      </w:r>
      <w:r w:rsidRPr="009412D0">
        <w:rPr>
          <w:rFonts w:ascii="Calibri" w:hAnsi="Calibri" w:cs="Calibri"/>
          <w:color w:val="002060"/>
          <w:szCs w:val="20"/>
        </w:rPr>
        <w:t xml:space="preserve">, in </w:t>
      </w:r>
      <w:r w:rsidRPr="009412D0">
        <w:rPr>
          <w:rFonts w:ascii="Calibri" w:hAnsi="Calibri" w:cs="Calibri"/>
          <w:i/>
          <w:color w:val="002060"/>
          <w:szCs w:val="20"/>
        </w:rPr>
        <w:t>Trattato delle obbligazioni</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L. Garofalo</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 xml:space="preserve">M. </w:t>
      </w:r>
      <w:proofErr w:type="spellStart"/>
      <w:r w:rsidRPr="009412D0">
        <w:rPr>
          <w:rFonts w:ascii="Calibri" w:eastAsia="Calibri" w:hAnsi="Calibri" w:cs="Calibri"/>
          <w:smallCaps/>
          <w:color w:val="002060"/>
          <w:szCs w:val="20"/>
          <w:lang w:val="x-none" w:eastAsia="x-none"/>
        </w:rPr>
        <w:t>Talamanca</w:t>
      </w:r>
      <w:proofErr w:type="spellEnd"/>
      <w:r w:rsidRPr="009412D0">
        <w:rPr>
          <w:rFonts w:ascii="Calibri" w:hAnsi="Calibri" w:cs="Calibri"/>
          <w:color w:val="002060"/>
          <w:szCs w:val="20"/>
        </w:rPr>
        <w:t xml:space="preserve"> (diretto da), </w:t>
      </w:r>
      <w:r w:rsidRPr="009412D0">
        <w:rPr>
          <w:rFonts w:ascii="Calibri" w:hAnsi="Calibri" w:cs="Calibri"/>
          <w:i/>
          <w:color w:val="002060"/>
          <w:szCs w:val="20"/>
        </w:rPr>
        <w:t>La circolazione del credito</w:t>
      </w:r>
      <w:r w:rsidRPr="009412D0">
        <w:rPr>
          <w:rFonts w:ascii="Calibri" w:hAnsi="Calibri" w:cs="Calibri"/>
          <w:color w:val="002060"/>
          <w:szCs w:val="20"/>
        </w:rPr>
        <w:t xml:space="preserve">, t. I, </w:t>
      </w:r>
      <w:r w:rsidRPr="009412D0">
        <w:rPr>
          <w:rFonts w:ascii="Calibri" w:hAnsi="Calibri" w:cs="Calibri"/>
          <w:i/>
          <w:color w:val="002060"/>
          <w:szCs w:val="20"/>
        </w:rPr>
        <w:t>Cessione, factoring, cartolarizzazione</w:t>
      </w:r>
      <w:r w:rsidRPr="009412D0">
        <w:rPr>
          <w:rFonts w:ascii="Calibri" w:hAnsi="Calibri" w:cs="Calibri"/>
          <w:color w:val="002060"/>
          <w:szCs w:val="20"/>
        </w:rPr>
        <w:t xml:space="preserve">, </w:t>
      </w:r>
      <w:r w:rsidRPr="009412D0">
        <w:rPr>
          <w:rFonts w:ascii="Calibri" w:eastAsia="Calibri" w:hAnsi="Calibri" w:cs="Calibri"/>
          <w:smallCaps/>
          <w:color w:val="002060"/>
          <w:szCs w:val="20"/>
          <w:lang w:val="x-none" w:eastAsia="x-none"/>
        </w:rPr>
        <w:t>R. Alessi</w:t>
      </w:r>
      <w:r w:rsidRPr="009412D0">
        <w:rPr>
          <w:rFonts w:ascii="Calibri" w:hAnsi="Calibri" w:cs="Calibri"/>
          <w:color w:val="002060"/>
          <w:szCs w:val="20"/>
        </w:rPr>
        <w:t xml:space="preserve"> e </w:t>
      </w:r>
      <w:r w:rsidRPr="009412D0">
        <w:rPr>
          <w:rFonts w:ascii="Calibri" w:eastAsia="Calibri" w:hAnsi="Calibri" w:cs="Calibri"/>
          <w:smallCaps/>
          <w:color w:val="002060"/>
          <w:szCs w:val="20"/>
          <w:lang w:val="x-none" w:eastAsia="x-none"/>
        </w:rPr>
        <w:t>V. Mannino</w:t>
      </w:r>
      <w:r w:rsidRPr="009412D0">
        <w:rPr>
          <w:rFonts w:ascii="Calibri" w:hAnsi="Calibri" w:cs="Calibri"/>
          <w:color w:val="002060"/>
          <w:szCs w:val="20"/>
        </w:rPr>
        <w:t xml:space="preserve"> (a cura di), Padova, 2008, 653 ss.</w:t>
      </w:r>
    </w:p>
    <w:p w:rsidR="00D940D8" w:rsidRPr="009412D0" w:rsidRDefault="00D940D8" w:rsidP="00D940D8">
      <w:pPr>
        <w:numPr>
          <w:ilvl w:val="0"/>
          <w:numId w:val="5"/>
        </w:numPr>
        <w:spacing w:line="240" w:lineRule="auto"/>
        <w:ind w:left="567" w:hanging="425"/>
        <w:rPr>
          <w:rFonts w:ascii="Calibri" w:hAnsi="Calibri" w:cs="Calibri"/>
          <w:color w:val="002060"/>
          <w:szCs w:val="20"/>
        </w:rPr>
      </w:pPr>
      <w:r w:rsidRPr="009412D0">
        <w:rPr>
          <w:rFonts w:ascii="Calibri" w:hAnsi="Calibri" w:cs="Calibri"/>
          <w:color w:val="002060"/>
          <w:szCs w:val="20"/>
        </w:rPr>
        <w:t xml:space="preserve">Cass. civ., 27 febbraio 1998, n. 2156, in </w:t>
      </w:r>
      <w:r w:rsidRPr="009412D0">
        <w:rPr>
          <w:rFonts w:ascii="Calibri" w:hAnsi="Calibri" w:cs="Calibri"/>
          <w:i/>
          <w:color w:val="002060"/>
          <w:szCs w:val="20"/>
        </w:rPr>
        <w:t>Rep. Foro it</w:t>
      </w:r>
      <w:r w:rsidRPr="009412D0">
        <w:rPr>
          <w:rFonts w:ascii="Calibri" w:hAnsi="Calibri" w:cs="Calibri"/>
          <w:color w:val="002060"/>
          <w:szCs w:val="20"/>
        </w:rPr>
        <w:t xml:space="preserve">., 1998, voce </w:t>
      </w:r>
      <w:r w:rsidRPr="009412D0">
        <w:rPr>
          <w:rFonts w:ascii="Calibri" w:hAnsi="Calibri" w:cs="Calibri"/>
          <w:i/>
          <w:color w:val="002060"/>
          <w:szCs w:val="20"/>
        </w:rPr>
        <w:t>Cessione dei crediti</w:t>
      </w:r>
      <w:r w:rsidRPr="009412D0">
        <w:rPr>
          <w:rFonts w:ascii="Calibri" w:hAnsi="Calibri" w:cs="Calibri"/>
          <w:color w:val="002060"/>
          <w:szCs w:val="20"/>
        </w:rPr>
        <w:t xml:space="preserve">, n. 5. Per approfondimenti, cfr., Cass., 21 ottobre 2010, n. 21599, </w:t>
      </w:r>
      <w:r w:rsidRPr="009412D0">
        <w:rPr>
          <w:rFonts w:ascii="Calibri" w:hAnsi="Calibri" w:cs="Calibri"/>
          <w:i/>
          <w:color w:val="002060"/>
          <w:szCs w:val="20"/>
        </w:rPr>
        <w:t>ivi</w:t>
      </w:r>
      <w:r w:rsidRPr="009412D0">
        <w:rPr>
          <w:rFonts w:ascii="Calibri" w:hAnsi="Calibri" w:cs="Calibri"/>
          <w:color w:val="002060"/>
          <w:szCs w:val="20"/>
        </w:rPr>
        <w:t xml:space="preserve">, voce </w:t>
      </w:r>
      <w:r w:rsidRPr="009412D0">
        <w:rPr>
          <w:rFonts w:ascii="Calibri" w:hAnsi="Calibri" w:cs="Calibri"/>
          <w:i/>
          <w:color w:val="002060"/>
          <w:szCs w:val="20"/>
        </w:rPr>
        <w:t>Obbligazioni in genere</w:t>
      </w:r>
      <w:r w:rsidRPr="009412D0">
        <w:rPr>
          <w:rFonts w:ascii="Calibri" w:hAnsi="Calibri" w:cs="Calibri"/>
          <w:color w:val="002060"/>
          <w:szCs w:val="20"/>
        </w:rPr>
        <w:t xml:space="preserve">, 70; in </w:t>
      </w:r>
      <w:proofErr w:type="spellStart"/>
      <w:r w:rsidRPr="009412D0">
        <w:rPr>
          <w:rFonts w:ascii="Calibri" w:hAnsi="Calibri" w:cs="Calibri"/>
          <w:i/>
          <w:color w:val="002060"/>
          <w:szCs w:val="20"/>
        </w:rPr>
        <w:t>Obbl</w:t>
      </w:r>
      <w:proofErr w:type="spellEnd"/>
      <w:r w:rsidRPr="009412D0">
        <w:rPr>
          <w:rFonts w:ascii="Calibri" w:hAnsi="Calibri" w:cs="Calibri"/>
          <w:i/>
          <w:color w:val="002060"/>
          <w:szCs w:val="20"/>
        </w:rPr>
        <w:t>. e contr</w:t>
      </w:r>
      <w:r w:rsidRPr="009412D0">
        <w:rPr>
          <w:rFonts w:ascii="Calibri" w:hAnsi="Calibri" w:cs="Calibri"/>
          <w:color w:val="002060"/>
          <w:szCs w:val="20"/>
        </w:rPr>
        <w:t xml:space="preserve">., 2011, 491, con nota A. </w:t>
      </w:r>
      <w:r w:rsidRPr="009412D0">
        <w:rPr>
          <w:rFonts w:ascii="Calibri" w:eastAsia="Calibri" w:hAnsi="Calibri" w:cs="Calibri"/>
          <w:smallCaps/>
          <w:color w:val="002060"/>
          <w:szCs w:val="20"/>
          <w:lang w:val="x-none" w:eastAsia="x-none"/>
        </w:rPr>
        <w:t>Natale</w:t>
      </w:r>
      <w:r w:rsidRPr="009412D0">
        <w:rPr>
          <w:rFonts w:ascii="Calibri" w:hAnsi="Calibri" w:cs="Calibri"/>
          <w:color w:val="002060"/>
          <w:szCs w:val="20"/>
        </w:rPr>
        <w:t xml:space="preserve">, </w:t>
      </w:r>
      <w:r w:rsidRPr="009412D0">
        <w:rPr>
          <w:rFonts w:ascii="Calibri" w:hAnsi="Calibri" w:cs="Calibri"/>
          <w:i/>
          <w:color w:val="002060"/>
          <w:szCs w:val="20"/>
        </w:rPr>
        <w:t>Cessione di crediti futuri e silenzio del debitore ceduto</w:t>
      </w:r>
      <w:r w:rsidRPr="009412D0">
        <w:rPr>
          <w:rFonts w:ascii="Calibri" w:hAnsi="Calibri" w:cs="Calibri"/>
          <w:color w:val="002060"/>
          <w:szCs w:val="20"/>
        </w:rPr>
        <w:t xml:space="preserve">; in </w:t>
      </w:r>
      <w:r w:rsidRPr="009412D0">
        <w:rPr>
          <w:rFonts w:ascii="Calibri" w:hAnsi="Calibri" w:cs="Calibri"/>
          <w:i/>
          <w:color w:val="002060"/>
          <w:szCs w:val="20"/>
        </w:rPr>
        <w:t>Giust. civ</w:t>
      </w:r>
      <w:r w:rsidRPr="009412D0">
        <w:rPr>
          <w:rFonts w:ascii="Calibri" w:hAnsi="Calibri" w:cs="Calibri"/>
          <w:color w:val="002060"/>
          <w:szCs w:val="20"/>
        </w:rPr>
        <w:t>., 2010, I, 2426.</w:t>
      </w:r>
    </w:p>
    <w:p w:rsidR="00D940D8" w:rsidRPr="009412D0" w:rsidRDefault="00D940D8" w:rsidP="00D940D8">
      <w:pPr>
        <w:widowControl w:val="0"/>
        <w:numPr>
          <w:ilvl w:val="0"/>
          <w:numId w:val="5"/>
        </w:numPr>
        <w:spacing w:line="276" w:lineRule="auto"/>
        <w:ind w:left="567" w:hanging="425"/>
        <w:rPr>
          <w:rFonts w:ascii="Calibri" w:hAnsi="Calibri" w:cs="Calibri"/>
          <w:color w:val="002060"/>
          <w:szCs w:val="20"/>
        </w:rPr>
      </w:pPr>
      <w:r w:rsidRPr="009412D0">
        <w:rPr>
          <w:rFonts w:ascii="Calibri" w:hAnsi="Calibri" w:cs="Calibri"/>
          <w:color w:val="002060"/>
          <w:szCs w:val="20"/>
        </w:rPr>
        <w:t xml:space="preserve">Cass., 18 dicembre 2007, n. 26664, in </w:t>
      </w:r>
      <w:r w:rsidRPr="009412D0">
        <w:rPr>
          <w:rFonts w:ascii="Calibri" w:hAnsi="Calibri" w:cs="Calibri"/>
          <w:i/>
          <w:color w:val="002060"/>
          <w:szCs w:val="20"/>
        </w:rPr>
        <w:t>Notariato</w:t>
      </w:r>
      <w:r w:rsidRPr="009412D0">
        <w:rPr>
          <w:rFonts w:ascii="Calibri" w:hAnsi="Calibri" w:cs="Calibri"/>
          <w:color w:val="002060"/>
          <w:szCs w:val="20"/>
        </w:rPr>
        <w:t>, 2009, 30; in</w:t>
      </w:r>
      <w:r w:rsidRPr="009412D0">
        <w:rPr>
          <w:rFonts w:ascii="Calibri" w:hAnsi="Calibri" w:cs="Calibri"/>
          <w:i/>
          <w:color w:val="002060"/>
          <w:szCs w:val="20"/>
        </w:rPr>
        <w:t xml:space="preserve"> Fallimento</w:t>
      </w:r>
      <w:r w:rsidRPr="009412D0">
        <w:rPr>
          <w:rFonts w:ascii="Calibri" w:hAnsi="Calibri" w:cs="Calibri"/>
          <w:color w:val="002060"/>
          <w:szCs w:val="20"/>
        </w:rPr>
        <w:t>, 2008, 646.</w:t>
      </w:r>
    </w:p>
    <w:p w:rsidR="00D940D8" w:rsidRPr="00B56B64" w:rsidRDefault="00D940D8" w:rsidP="00D940D8"/>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FF91C55"/>
    <w:multiLevelType w:val="hybridMultilevel"/>
    <w:tmpl w:val="1B70F5C8"/>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D8"/>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D940D8"/>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21A5F0-C32D-4D13-8256-4226A850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40D8"/>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2376</Words>
  <Characters>13548</Characters>
  <Application>Microsoft Office Word</Application>
  <DocSecurity>0</DocSecurity>
  <Lines>112</Lines>
  <Paragraphs>31</Paragraphs>
  <ScaleCrop>false</ScaleCrop>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2016-03-26T18:21:00Z</dcterms:created>
  <dcterms:modified xsi:type="dcterms:W3CDTF">2016-03-26T18:22:00Z</dcterms:modified>
</cp:coreProperties>
</file>