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8B" w:rsidRDefault="0061328B" w:rsidP="002D6288">
      <w:pPr>
        <w:spacing w:before="100" w:beforeAutospacing="1" w:after="100" w:afterAutospacing="1" w:line="276" w:lineRule="auto"/>
        <w:rPr>
          <w:b/>
          <w:bCs/>
          <w:iCs/>
          <w:color w:val="002060"/>
          <w:sz w:val="24"/>
          <w:szCs w:val="24"/>
          <w:lang w:eastAsia="it-IT"/>
        </w:rPr>
      </w:pPr>
      <w:r>
        <w:rPr>
          <w:b/>
          <w:bCs/>
          <w:iCs/>
          <w:color w:val="002060"/>
          <w:sz w:val="24"/>
          <w:szCs w:val="24"/>
          <w:lang w:eastAsia="it-IT"/>
        </w:rPr>
        <w:t>TRIBUTI</w:t>
      </w:r>
    </w:p>
    <w:p w:rsidR="0061328B" w:rsidRDefault="0061328B" w:rsidP="002D6288">
      <w:pPr>
        <w:spacing w:before="100" w:beforeAutospacing="1" w:after="100" w:afterAutospacing="1" w:line="276" w:lineRule="auto"/>
        <w:rPr>
          <w:b/>
          <w:bCs/>
          <w:iCs/>
          <w:color w:val="002060"/>
          <w:sz w:val="24"/>
          <w:szCs w:val="24"/>
          <w:lang w:eastAsia="it-IT"/>
        </w:rPr>
      </w:pPr>
      <w:r>
        <w:rPr>
          <w:b/>
          <w:bCs/>
          <w:iCs/>
          <w:color w:val="002060"/>
          <w:sz w:val="24"/>
          <w:szCs w:val="24"/>
          <w:lang w:eastAsia="it-IT"/>
        </w:rPr>
        <w:t xml:space="preserve">*Cassazione, ordinanza 29 luglio 2014, n. 17151, sez. VI - 5 civile </w:t>
      </w:r>
    </w:p>
    <w:p w:rsidR="0061328B" w:rsidRDefault="0061328B" w:rsidP="002D6288">
      <w:pPr>
        <w:spacing w:before="100" w:beforeAutospacing="1" w:after="100" w:afterAutospacing="1" w:line="276" w:lineRule="auto"/>
        <w:rPr>
          <w:bCs/>
          <w:i/>
          <w:iCs/>
          <w:color w:val="002060"/>
          <w:sz w:val="24"/>
          <w:szCs w:val="24"/>
          <w:lang w:eastAsia="it-IT"/>
        </w:rPr>
      </w:pPr>
      <w:r>
        <w:rPr>
          <w:bCs/>
          <w:i/>
          <w:iCs/>
          <w:color w:val="002060"/>
          <w:sz w:val="24"/>
          <w:szCs w:val="24"/>
          <w:lang w:eastAsia="it-IT"/>
        </w:rPr>
        <w:t>Imposta di registro – “prima casa” – riacquisto – contratto preliminare</w:t>
      </w:r>
    </w:p>
    <w:p w:rsidR="0061328B" w:rsidRDefault="0061328B" w:rsidP="002D6288">
      <w:pPr>
        <w:spacing w:before="100" w:beforeAutospacing="1" w:after="100" w:afterAutospacing="1" w:line="276" w:lineRule="auto"/>
        <w:rPr>
          <w:bCs/>
          <w:i/>
          <w:iCs/>
          <w:color w:val="002060"/>
          <w:sz w:val="24"/>
          <w:szCs w:val="24"/>
          <w:lang w:eastAsia="it-IT"/>
        </w:rPr>
      </w:pPr>
    </w:p>
    <w:p w:rsidR="0061328B" w:rsidRDefault="0061328B" w:rsidP="002D6288">
      <w:pPr>
        <w:spacing w:before="100" w:beforeAutospacing="1" w:after="100" w:afterAutospacing="1" w:line="276" w:lineRule="auto"/>
        <w:rPr>
          <w:bCs/>
          <w:iCs/>
          <w:color w:val="002060"/>
          <w:sz w:val="24"/>
          <w:szCs w:val="24"/>
          <w:lang w:eastAsia="it-IT"/>
        </w:rPr>
      </w:pPr>
      <w:r>
        <w:rPr>
          <w:bCs/>
          <w:iCs/>
          <w:color w:val="002060"/>
          <w:sz w:val="24"/>
          <w:szCs w:val="24"/>
          <w:lang w:eastAsia="it-IT"/>
        </w:rPr>
        <w:t>Il significato letterale dell'espressione "acquisto di altro immobile da adibire a propria abitazione principale", quale elemento previsto ai fini della conservazione dell'agevolazione fiscale di cui si tratta, rimanda univocamente alla necessità di porre in essere un negozio traslativo del diritto di proprietà di un immobile. Questa Corte ha chiarito che l'acquisto rilevante ai fini dell'ultima parte del quarto comma della nota II bis all'art. 1 della Parte Prima della Tariffa allegata al T.U. Registro può anche essere a titolo gratuito (sent. n. 16077/13) o può anche riguardare una quota indivisa di un immobile (purchè di entità tale da garantire la concreta possibilità di disporre del medesimo per adibirlo a propria abitazione, sent. n. 13291/11); ma non è dubitabile che per "acquisto" si deve intendere l'acquisizione del diritto di proprietà, e non la mera insorgenza del diritto di concludere un contratto di compravendita derivante dalla stipula di un contratto preliminare.</w:t>
      </w:r>
    </w:p>
    <w:p w:rsidR="0061328B" w:rsidRDefault="0061328B">
      <w:bookmarkStart w:id="0" w:name="_GoBack"/>
      <w:bookmarkEnd w:id="0"/>
    </w:p>
    <w:sectPr w:rsidR="0061328B" w:rsidSect="003F03A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C26"/>
    <w:rsid w:val="000A781A"/>
    <w:rsid w:val="001A745F"/>
    <w:rsid w:val="002D6288"/>
    <w:rsid w:val="003F03AB"/>
    <w:rsid w:val="0061328B"/>
    <w:rsid w:val="00990C26"/>
    <w:rsid w:val="00B1046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88"/>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761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170</Words>
  <Characters>974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TRIBUTI</dc:title>
  <dc:subject/>
  <dc:creator>Giorgio Mario Calissoni</dc:creator>
  <cp:keywords/>
  <dc:description/>
  <cp:lastModifiedBy>NOTAIO</cp:lastModifiedBy>
  <cp:revision>2</cp:revision>
  <dcterms:created xsi:type="dcterms:W3CDTF">2014-09-22T08:27:00Z</dcterms:created>
  <dcterms:modified xsi:type="dcterms:W3CDTF">2014-09-22T08:27:00Z</dcterms:modified>
</cp:coreProperties>
</file>