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120" w:rsidRPr="00497443" w:rsidRDefault="003F5120" w:rsidP="00497443">
      <w:pPr>
        <w:spacing w:after="20" w:line="240" w:lineRule="auto"/>
        <w:rPr>
          <w:rFonts w:ascii="Times New Roman" w:hAnsi="Times New Roman"/>
          <w:b/>
          <w:bCs/>
          <w:sz w:val="28"/>
          <w:szCs w:val="28"/>
        </w:rPr>
      </w:pPr>
      <w:bookmarkStart w:id="0" w:name="_GoBack"/>
      <w:bookmarkEnd w:id="0"/>
      <w:r w:rsidRPr="0088674C">
        <w:rPr>
          <w:rFonts w:ascii="Times New Roman" w:hAnsi="Times New Roman"/>
          <w:b/>
          <w:bCs/>
          <w:sz w:val="28"/>
          <w:szCs w:val="28"/>
          <w:highlight w:val="yellow"/>
        </w:rPr>
        <w:t>Cass. civ</w:t>
      </w:r>
      <w:r w:rsidRPr="00497443">
        <w:rPr>
          <w:rFonts w:ascii="Times New Roman" w:hAnsi="Times New Roman"/>
          <w:b/>
          <w:bCs/>
          <w:sz w:val="28"/>
          <w:szCs w:val="28"/>
        </w:rPr>
        <w:t xml:space="preserve">. Sez. VI - 5, Ord., </w:t>
      </w:r>
      <w:r w:rsidRPr="0088674C">
        <w:rPr>
          <w:rFonts w:ascii="Times New Roman" w:hAnsi="Times New Roman"/>
          <w:b/>
          <w:bCs/>
          <w:sz w:val="28"/>
          <w:szCs w:val="28"/>
          <w:highlight w:val="yellow"/>
        </w:rPr>
        <w:t>27/01/2016,</w:t>
      </w:r>
      <w:r w:rsidRPr="00497443">
        <w:rPr>
          <w:rFonts w:ascii="Times New Roman" w:hAnsi="Times New Roman"/>
          <w:b/>
          <w:bCs/>
          <w:sz w:val="28"/>
          <w:szCs w:val="28"/>
        </w:rPr>
        <w:t xml:space="preserve"> n. 1588</w:t>
      </w:r>
    </w:p>
    <w:p w:rsidR="003F5120" w:rsidRPr="00497443" w:rsidRDefault="003F5120" w:rsidP="00497443">
      <w:pPr>
        <w:spacing w:after="240" w:line="240" w:lineRule="auto"/>
        <w:rPr>
          <w:rFonts w:ascii="Times New Roman" w:hAnsi="Times New Roman"/>
          <w:sz w:val="28"/>
          <w:szCs w:val="28"/>
        </w:rPr>
      </w:pPr>
      <w:r w:rsidRPr="00497443">
        <w:rPr>
          <w:rFonts w:ascii="Times New Roman" w:hAnsi="Times New Roman"/>
          <w:b/>
          <w:bCs/>
          <w:sz w:val="28"/>
          <w:szCs w:val="28"/>
        </w:rPr>
        <w:t>IMPOSTA SUCCESSIONE E DONAZIONE</w:t>
      </w:r>
      <w:r w:rsidRPr="00497443">
        <w:rPr>
          <w:rFonts w:ascii="Times New Roman" w:hAnsi="Times New Roman"/>
          <w:sz w:val="28"/>
          <w:szCs w:val="28"/>
        </w:rPr>
        <w:br/>
      </w:r>
      <w:r w:rsidRPr="00497443">
        <w:rPr>
          <w:rFonts w:ascii="Times New Roman" w:hAnsi="Times New Roman"/>
          <w:sz w:val="28"/>
          <w:szCs w:val="28"/>
        </w:rPr>
        <w:br/>
      </w:r>
      <w:r w:rsidRPr="00497443">
        <w:rPr>
          <w:rFonts w:ascii="Times New Roman" w:hAnsi="Times New Roman"/>
          <w:b/>
          <w:bCs/>
          <w:sz w:val="28"/>
          <w:szCs w:val="28"/>
        </w:rPr>
        <w:t>PROCEDIMENTO CIVILE</w:t>
      </w:r>
    </w:p>
    <w:p w:rsidR="003F5120" w:rsidRPr="00497443" w:rsidRDefault="003F5120" w:rsidP="00497443">
      <w:pPr>
        <w:spacing w:before="100" w:beforeAutospacing="1" w:after="20" w:line="240" w:lineRule="auto"/>
        <w:jc w:val="center"/>
        <w:rPr>
          <w:rFonts w:ascii="Times New Roman" w:hAnsi="Times New Roman"/>
          <w:sz w:val="28"/>
          <w:szCs w:val="28"/>
        </w:rPr>
      </w:pPr>
      <w:r w:rsidRPr="00497443">
        <w:rPr>
          <w:rFonts w:ascii="Times New Roman" w:hAnsi="Times New Roman"/>
          <w:sz w:val="28"/>
          <w:szCs w:val="28"/>
        </w:rPr>
        <w:t>REPUBBLICA ITALIANA</w:t>
      </w:r>
    </w:p>
    <w:p w:rsidR="003F5120" w:rsidRPr="00497443" w:rsidRDefault="003F5120" w:rsidP="00497443">
      <w:pPr>
        <w:spacing w:before="100" w:beforeAutospacing="1" w:after="20" w:line="240" w:lineRule="auto"/>
        <w:jc w:val="center"/>
        <w:rPr>
          <w:rFonts w:ascii="Times New Roman" w:hAnsi="Times New Roman"/>
          <w:sz w:val="28"/>
          <w:szCs w:val="28"/>
        </w:rPr>
      </w:pPr>
      <w:r w:rsidRPr="00497443">
        <w:rPr>
          <w:rFonts w:ascii="Times New Roman" w:hAnsi="Times New Roman"/>
          <w:sz w:val="28"/>
          <w:szCs w:val="28"/>
        </w:rPr>
        <w:t>IN NOME DEL POPOLO ITALIANO</w:t>
      </w:r>
    </w:p>
    <w:p w:rsidR="003F5120" w:rsidRPr="00497443" w:rsidRDefault="003F5120" w:rsidP="00497443">
      <w:pPr>
        <w:spacing w:before="100" w:beforeAutospacing="1" w:after="20" w:line="240" w:lineRule="auto"/>
        <w:jc w:val="center"/>
        <w:rPr>
          <w:rFonts w:ascii="Times New Roman" w:hAnsi="Times New Roman"/>
          <w:sz w:val="28"/>
          <w:szCs w:val="28"/>
        </w:rPr>
      </w:pPr>
      <w:r w:rsidRPr="00497443">
        <w:rPr>
          <w:rFonts w:ascii="Times New Roman" w:hAnsi="Times New Roman"/>
          <w:sz w:val="28"/>
          <w:szCs w:val="28"/>
        </w:rPr>
        <w:t>LA CORTE SUPREMA DI CASSAZIONE</w:t>
      </w:r>
    </w:p>
    <w:p w:rsidR="003F5120" w:rsidRPr="00497443" w:rsidRDefault="003F5120" w:rsidP="00497443">
      <w:pPr>
        <w:spacing w:before="100" w:beforeAutospacing="1" w:after="20" w:line="240" w:lineRule="auto"/>
        <w:jc w:val="center"/>
        <w:rPr>
          <w:rFonts w:ascii="Times New Roman" w:hAnsi="Times New Roman"/>
          <w:sz w:val="28"/>
          <w:szCs w:val="28"/>
        </w:rPr>
      </w:pPr>
      <w:r w:rsidRPr="00497443">
        <w:rPr>
          <w:rFonts w:ascii="Times New Roman" w:hAnsi="Times New Roman"/>
          <w:sz w:val="28"/>
          <w:szCs w:val="28"/>
        </w:rPr>
        <w:t>SEZIONE SESTA CIVILE</w:t>
      </w:r>
    </w:p>
    <w:p w:rsidR="003F5120" w:rsidRPr="00497443" w:rsidRDefault="003F5120" w:rsidP="00497443">
      <w:pPr>
        <w:spacing w:before="100" w:beforeAutospacing="1" w:after="20" w:line="240" w:lineRule="auto"/>
        <w:jc w:val="center"/>
        <w:rPr>
          <w:rFonts w:ascii="Times New Roman" w:hAnsi="Times New Roman"/>
          <w:sz w:val="28"/>
          <w:szCs w:val="28"/>
        </w:rPr>
      </w:pPr>
      <w:r w:rsidRPr="00497443">
        <w:rPr>
          <w:rFonts w:ascii="Times New Roman" w:hAnsi="Times New Roman"/>
          <w:sz w:val="28"/>
          <w:szCs w:val="28"/>
        </w:rPr>
        <w:t>SOTTOSEZIONE T</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Composta dagli Ill.mi Sigg.ri Magistrati:</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Dott. IACOBELLIS Marcello - Presidente -</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Dott. CARACCIOLO Giuseppe - Consigliere -</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Dott. CIGNA Mario - Consigliere -</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Dott. COSENTINO Antonello - rel. Consigliere -</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Dott. CRUCITTI Roberta - Consigliere -</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ha pronunciato la seguente:</w:t>
      </w:r>
    </w:p>
    <w:p w:rsidR="003F5120" w:rsidRPr="00497443" w:rsidRDefault="003F5120" w:rsidP="00497443">
      <w:pPr>
        <w:spacing w:before="100" w:beforeAutospacing="1" w:after="20" w:line="240" w:lineRule="auto"/>
        <w:jc w:val="center"/>
        <w:rPr>
          <w:rFonts w:ascii="Times New Roman" w:hAnsi="Times New Roman"/>
          <w:sz w:val="28"/>
          <w:szCs w:val="28"/>
        </w:rPr>
      </w:pPr>
      <w:r w:rsidRPr="00497443">
        <w:rPr>
          <w:rFonts w:ascii="Times New Roman" w:hAnsi="Times New Roman"/>
          <w:sz w:val="28"/>
          <w:szCs w:val="28"/>
        </w:rPr>
        <w:t>ordinanza</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sul ricorso 26868-2014 proposto da:</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AGENZIA DELLE ENTRATE (OMISSIS), in persona del Direttore pro tempore, elettivamente domiciliata in ROMA, VIA DEI PORTOGHESI 12, presso AVVOCATURA GENERALE DELLO STATO, che la rappresenta e difende, ope legis;</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 ricorrente -</w:t>
      </w:r>
    </w:p>
    <w:p w:rsidR="003F5120" w:rsidRPr="00497443" w:rsidRDefault="003F5120" w:rsidP="00497443">
      <w:pPr>
        <w:spacing w:before="100" w:beforeAutospacing="1" w:after="20" w:line="240" w:lineRule="auto"/>
        <w:jc w:val="center"/>
        <w:rPr>
          <w:rFonts w:ascii="Times New Roman" w:hAnsi="Times New Roman"/>
          <w:sz w:val="28"/>
          <w:szCs w:val="28"/>
        </w:rPr>
      </w:pPr>
      <w:r w:rsidRPr="00497443">
        <w:rPr>
          <w:rFonts w:ascii="Times New Roman" w:hAnsi="Times New Roman"/>
          <w:sz w:val="28"/>
          <w:szCs w:val="28"/>
        </w:rPr>
        <w:t>contro</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EQUITALIA NORD SPA (OMISSIS), in persona del legale rappresentante pro tempore, elettivamente domiciliata presso la CORTE DI CASSAZIONE, PIAZZA CAVOUR, ROMA, rappresentata e difesa dagli Avvocati GIOVANNI CALISI, ERSILIO GAVINO, giusta mandato in calce al controricorso;</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 controricorrente -</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e contro</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C.L.;</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 intimata -</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avverso la sentenza n. 414/2014 della COMMISSIONE TRIBUTARIA REGIONALE di GENOVA dell'11/11/2013, depositata il 26/03/2014;</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udita la relazione della causa svolta nella camera di consiglio del 10/12/2015 dal Consigliere Relatore Dott. ANTONELLO COSENTINO.</w:t>
      </w:r>
    </w:p>
    <w:bookmarkStart w:id="1" w:name="fatto-diritto"/>
    <w:bookmarkEnd w:id="1"/>
    <w:p w:rsidR="003F5120" w:rsidRPr="00497443" w:rsidRDefault="003F5120" w:rsidP="00497443">
      <w:pPr>
        <w:spacing w:after="167" w:line="240" w:lineRule="auto"/>
        <w:jc w:val="center"/>
        <w:outlineLvl w:val="0"/>
        <w:rPr>
          <w:rFonts w:ascii="Times New Roman" w:hAnsi="Times New Roman"/>
          <w:kern w:val="36"/>
          <w:sz w:val="28"/>
          <w:szCs w:val="28"/>
        </w:rPr>
      </w:pPr>
      <w:r w:rsidRPr="00497443">
        <w:rPr>
          <w:rFonts w:ascii="Times New Roman" w:hAnsi="Times New Roman"/>
          <w:kern w:val="36"/>
          <w:sz w:val="28"/>
          <w:szCs w:val="28"/>
        </w:rPr>
        <w:fldChar w:fldCharType="begin"/>
      </w:r>
      <w:r w:rsidRPr="00497443">
        <w:rPr>
          <w:rFonts w:ascii="Times New Roman" w:hAnsi="Times New Roman"/>
          <w:kern w:val="36"/>
          <w:sz w:val="28"/>
          <w:szCs w:val="28"/>
        </w:rPr>
        <w:instrText xml:space="preserve"> HYPERLINK "http://studiolegale.leggiditalia.it/rest?print=1" \l "fatto-diritto_up" </w:instrText>
      </w:r>
      <w:r w:rsidRPr="00C9793E">
        <w:rPr>
          <w:rFonts w:ascii="Times New Roman" w:hAnsi="Times New Roman"/>
          <w:kern w:val="36"/>
          <w:sz w:val="28"/>
          <w:szCs w:val="28"/>
        </w:rPr>
      </w:r>
      <w:r w:rsidRPr="00497443">
        <w:rPr>
          <w:rFonts w:ascii="Times New Roman" w:hAnsi="Times New Roman"/>
          <w:kern w:val="36"/>
          <w:sz w:val="28"/>
          <w:szCs w:val="28"/>
        </w:rPr>
        <w:fldChar w:fldCharType="separate"/>
      </w:r>
      <w:r w:rsidRPr="00497443">
        <w:rPr>
          <w:rFonts w:ascii="Times New Roman" w:hAnsi="Times New Roman"/>
          <w:b/>
          <w:bCs/>
          <w:color w:val="1183A0"/>
          <w:kern w:val="36"/>
          <w:sz w:val="28"/>
          <w:szCs w:val="28"/>
          <w:u w:val="single"/>
        </w:rPr>
        <w:t>Svolgimento del processo - Motivi della decisione</w:t>
      </w:r>
      <w:r w:rsidRPr="00497443">
        <w:rPr>
          <w:rFonts w:ascii="Times New Roman" w:hAnsi="Times New Roman"/>
          <w:kern w:val="36"/>
          <w:sz w:val="28"/>
          <w:szCs w:val="28"/>
        </w:rPr>
        <w:fldChar w:fldCharType="end"/>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Rilevato che, ai sensi dell'art. 380 bis cod. proc. civ. è stata depositata in cancelleria la relazione di seguito integralmente trascritta:</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"L'Agenzia delle Entrate ricorre contro la sig.ra C.L. e nei confronti di Equitalia Nord spa per la cassazione della sentenza con cui la Commissione Tributaria Regionale della Liguria, confermando la decisione di primo grado, ha annullato una cartella notificata alla contribuente il 7/2/2011 in qualità di erede del marito, sig. B.F., deceduto il (OMISSIS), per le riscossione di un debito tributario di quest'ultimo.</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La Commissione Tributaria Regionale ha accolto l'eccezione di difetto di legittimazione passiva della contribuente argomentando che costei non poteva considerarsi erede del signor B., per aver rinunciato alla relativa eredità con verbale registrato l'11/12/2009.</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Secondo il giudice territoriale, dalla rinuncia all'eredità si desumerebbe "che la ricorrente non era nel possesso dei beni ereditari" (pag. 4, terzultimo rigo, della sentenza) e, in tale situazione, sarebbe stato onere dell'ufficio dare la prova di tale possesso.</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Con l'unico motivo di ricorso l'Agenzia delle entrate denuncia il vizio di violazione di legge, con riferimento agli </w:t>
      </w:r>
      <w:hyperlink r:id="rId4" w:anchor="id=05AC00000433 05AC00001364,__m=document" w:history="1">
        <w:r w:rsidRPr="00497443">
          <w:rPr>
            <w:rFonts w:ascii="Times New Roman" w:hAnsi="Times New Roman"/>
            <w:i/>
            <w:iCs/>
            <w:color w:val="1183A0"/>
            <w:sz w:val="28"/>
            <w:szCs w:val="28"/>
            <w:u w:val="single"/>
          </w:rPr>
          <w:t>artt. 485 e 2697 c.c.</w:t>
        </w:r>
        <w:r w:rsidRPr="00497443">
          <w:rPr>
            <w:rFonts w:ascii="Times New Roman" w:hAnsi="Times New Roman"/>
            <w:color w:val="1183A0"/>
            <w:sz w:val="28"/>
            <w:szCs w:val="28"/>
            <w:u w:val="single"/>
          </w:rPr>
          <w:t> </w:t>
        </w:r>
      </w:hyperlink>
      <w:r w:rsidRPr="00497443">
        <w:rPr>
          <w:rFonts w:ascii="Times New Roman" w:hAnsi="Times New Roman"/>
          <w:sz w:val="28"/>
          <w:szCs w:val="28"/>
        </w:rPr>
        <w:t>e al </w:t>
      </w:r>
      <w:hyperlink r:id="rId5" w:anchor="id=10LX0000110003ART0,__m=document" w:history="1">
        <w:r w:rsidRPr="00497443">
          <w:rPr>
            <w:rFonts w:ascii="Times New Roman" w:hAnsi="Times New Roman"/>
            <w:i/>
            <w:iCs/>
            <w:color w:val="1183A0"/>
            <w:sz w:val="28"/>
            <w:szCs w:val="28"/>
            <w:u w:val="single"/>
          </w:rPr>
          <w:t>D.P.R. n. 600 del 1973,</w:t>
        </w:r>
      </w:hyperlink>
      <w:r w:rsidRPr="00497443">
        <w:rPr>
          <w:rFonts w:ascii="Times New Roman" w:hAnsi="Times New Roman"/>
          <w:i/>
          <w:iCs/>
          <w:sz w:val="28"/>
          <w:szCs w:val="28"/>
        </w:rPr>
        <w:t> art. </w:t>
      </w:r>
      <w:hyperlink r:id="rId6" w:anchor="id=10LX0000110003ART79,__m=document" w:history="1">
        <w:r w:rsidRPr="00497443">
          <w:rPr>
            <w:rFonts w:ascii="Times New Roman" w:hAnsi="Times New Roman"/>
            <w:i/>
            <w:iCs/>
            <w:color w:val="1183A0"/>
            <w:sz w:val="28"/>
            <w:szCs w:val="28"/>
            <w:u w:val="single"/>
          </w:rPr>
          <w:t>65</w:t>
        </w:r>
      </w:hyperlink>
      <w:r w:rsidRPr="00497443">
        <w:rPr>
          <w:rFonts w:ascii="Times New Roman" w:hAnsi="Times New Roman"/>
          <w:sz w:val="28"/>
          <w:szCs w:val="28"/>
        </w:rPr>
        <w:t>, in cui il giudice territoriale sarebbe incorso trascurando la regola di diritto che il chiamato che si trovi nel possesso dei beni ereditari è considerato erede puro e semplice se non abbia fatto l'inventario entro tre mesi dal giorno dell'apertura della successione.</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Al riguardo la difesa erariale, pur convenendo con l'affermazione della sentenza gravata secondo cui competeva all'Ufficio l'onere di provare che la contribuente fosse nel possesso dei beni ereditari, assume che tale onere sarebbe stato soddisfatto mediante la produzione in giudizio (in allegato all'atto di appello dell'Ufficio) dei certificati storici di residenza della signora C. e del signor B., attestanti che costoro avevano la medesima residenza.</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highlight w:val="yellow"/>
        </w:rPr>
        <w:t>Secondo la ricorrente, il fatto che la contribuente ed il suo dante causa fossero coniugi e avessero la stessa residenza costituirebbe circostanza idonea a fondare la presunzione che la contribuente fosse nel possesso dei beni ereditari; con la conseguenza che ella, non avendo chiesto l'inventario entro tre mesi dell'apertura della successione, allo spirare di tale termine era decaduta dal diritto di rinunciare all'eredità, cosicchè la rinuncia successivamente effettuata doveva considerarsi priva di effetti.</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La contribuente non si è costituita in questa sede, mentre Equitalia Nord si è costituita con controricorso adesivo al ricorso.</w:t>
      </w:r>
    </w:p>
    <w:p w:rsidR="003F5120" w:rsidRPr="00497443" w:rsidRDefault="003F5120" w:rsidP="00497443">
      <w:pPr>
        <w:spacing w:before="100" w:beforeAutospacing="1" w:after="20" w:line="240" w:lineRule="auto"/>
        <w:jc w:val="both"/>
        <w:rPr>
          <w:rFonts w:ascii="Times New Roman" w:hAnsi="Times New Roman"/>
          <w:sz w:val="28"/>
          <w:szCs w:val="28"/>
        </w:rPr>
      </w:pPr>
      <w:r>
        <w:rPr>
          <w:rFonts w:ascii="Times New Roman" w:hAnsi="Times New Roman"/>
          <w:sz w:val="28"/>
          <w:szCs w:val="28"/>
        </w:rPr>
        <w:t xml:space="preserve">Il </w:t>
      </w:r>
      <w:r w:rsidRPr="00497443">
        <w:rPr>
          <w:rFonts w:ascii="Times New Roman" w:hAnsi="Times New Roman"/>
          <w:sz w:val="28"/>
          <w:szCs w:val="28"/>
        </w:rPr>
        <w:t>motivo di ricorso appare inammissibile, perchè non risulta pertinente alla ratio decidendi della sentenza gravata, la quale non contiene alcuna affermazione contrastante con le disposizioni di cui la ricorrente lamenta la violazione.</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In particolare, per quanto riguarda la pretesa violazione </w:t>
      </w:r>
      <w:hyperlink r:id="rId7" w:anchor="id=05AC00001364,__m=document" w:history="1">
        <w:r w:rsidRPr="00497443">
          <w:rPr>
            <w:rFonts w:ascii="Times New Roman" w:hAnsi="Times New Roman"/>
            <w:i/>
            <w:iCs/>
            <w:color w:val="1183A0"/>
            <w:sz w:val="28"/>
            <w:szCs w:val="28"/>
            <w:u w:val="single"/>
          </w:rPr>
          <w:t>dell'art. 2697 c.c.</w:t>
        </w:r>
        <w:r w:rsidRPr="00497443">
          <w:rPr>
            <w:rFonts w:ascii="Times New Roman" w:hAnsi="Times New Roman"/>
            <w:color w:val="1183A0"/>
            <w:sz w:val="28"/>
            <w:szCs w:val="28"/>
            <w:u w:val="single"/>
          </w:rPr>
          <w:t> </w:t>
        </w:r>
      </w:hyperlink>
      <w:r w:rsidRPr="00497443">
        <w:rPr>
          <w:rFonts w:ascii="Times New Roman" w:hAnsi="Times New Roman"/>
          <w:sz w:val="28"/>
          <w:szCs w:val="28"/>
        </w:rPr>
        <w:t>, si osserva che la stessa difesa erariale conviene sull'assunto - giuridicamente esatto - che l'onere di provare che la contribuente fosse nel possesso dei beni ereditari gravava sull'Ufficio; per contro, per quanto riguarda la pretesa violazione </w:t>
      </w:r>
      <w:hyperlink r:id="rId8" w:anchor="id=05AC00000433,__m=document" w:history="1">
        <w:r w:rsidRPr="00497443">
          <w:rPr>
            <w:rFonts w:ascii="Times New Roman" w:hAnsi="Times New Roman"/>
            <w:i/>
            <w:iCs/>
            <w:color w:val="1183A0"/>
            <w:sz w:val="28"/>
            <w:szCs w:val="28"/>
            <w:u w:val="single"/>
          </w:rPr>
          <w:t>dell'art. 485 c.c.</w:t>
        </w:r>
        <w:r w:rsidRPr="00497443">
          <w:rPr>
            <w:rFonts w:ascii="Times New Roman" w:hAnsi="Times New Roman"/>
            <w:color w:val="1183A0"/>
            <w:sz w:val="28"/>
            <w:szCs w:val="28"/>
            <w:u w:val="single"/>
          </w:rPr>
          <w:t> </w:t>
        </w:r>
      </w:hyperlink>
      <w:r w:rsidRPr="00497443">
        <w:rPr>
          <w:rFonts w:ascii="Times New Roman" w:hAnsi="Times New Roman"/>
          <w:sz w:val="28"/>
          <w:szCs w:val="28"/>
        </w:rPr>
        <w:t>, la sentenza gravata nemmeno tratta di tale disposizione, avendo escluso la circostanza di fatto - costituente uno dei presupposti applicativi della stessa - che la contribuente fosse nel possesso dei beni ereditari. Risulta dunque palese che la ratio decidendi della sentenza gravata si fonda su un giudizio di fatto (che la contribuente non era nel possesso dei beni ereditari) di per sè idoneo ad escludere l'operatività, nella specie, </w:t>
      </w:r>
      <w:hyperlink r:id="rId9" w:anchor="id=05AC00000433,__m=document" w:history="1">
        <w:r w:rsidRPr="00497443">
          <w:rPr>
            <w:rFonts w:ascii="Times New Roman" w:hAnsi="Times New Roman"/>
            <w:i/>
            <w:iCs/>
            <w:color w:val="1183A0"/>
            <w:sz w:val="28"/>
            <w:szCs w:val="28"/>
            <w:u w:val="single"/>
          </w:rPr>
          <w:t>dell'art. 485 c.c.</w:t>
        </w:r>
        <w:r w:rsidRPr="00497443">
          <w:rPr>
            <w:rFonts w:ascii="Times New Roman" w:hAnsi="Times New Roman"/>
            <w:color w:val="1183A0"/>
            <w:sz w:val="28"/>
            <w:szCs w:val="28"/>
            <w:u w:val="single"/>
          </w:rPr>
          <w:t> </w:t>
        </w:r>
      </w:hyperlink>
      <w:r w:rsidRPr="00497443">
        <w:rPr>
          <w:rFonts w:ascii="Times New Roman" w:hAnsi="Times New Roman"/>
          <w:sz w:val="28"/>
          <w:szCs w:val="28"/>
        </w:rPr>
        <w:t>; giudizio di fatto (che il giudice territoriale pretende di desumere dalla circostanza che la stessa contribuente aveva rinunciato all'eredità) censurabile in questa sede solo con il mezzo, non proposto nel ricorso, di cui </w:t>
      </w:r>
      <w:hyperlink r:id="rId10" w:anchor="id=05AC00005024,__m=document" w:history="1">
        <w:r w:rsidRPr="00497443">
          <w:rPr>
            <w:rFonts w:ascii="Times New Roman" w:hAnsi="Times New Roman"/>
            <w:i/>
            <w:iCs/>
            <w:color w:val="1183A0"/>
            <w:sz w:val="28"/>
            <w:szCs w:val="28"/>
            <w:u w:val="single"/>
          </w:rPr>
          <w:t>all'art. 365 c.p.c.</w:t>
        </w:r>
        <w:r w:rsidRPr="00497443">
          <w:rPr>
            <w:rFonts w:ascii="Times New Roman" w:hAnsi="Times New Roman"/>
            <w:color w:val="1183A0"/>
            <w:sz w:val="28"/>
            <w:szCs w:val="28"/>
            <w:u w:val="single"/>
          </w:rPr>
          <w:t> </w:t>
        </w:r>
      </w:hyperlink>
      <w:r w:rsidRPr="00497443">
        <w:rPr>
          <w:rFonts w:ascii="Times New Roman" w:hAnsi="Times New Roman"/>
          <w:sz w:val="28"/>
          <w:szCs w:val="28"/>
        </w:rPr>
        <w:t>, n. 5.</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Per esigenze di nomofilachia appare peraltro utile evidenziare che la doglianza della difesa erariale si poggia su un orientamento di questa Corte secondo cui il disposto </w:t>
      </w:r>
      <w:hyperlink r:id="rId11" w:anchor="id=05AC00000372,__m=document" w:history="1">
        <w:r w:rsidRPr="00497443">
          <w:rPr>
            <w:rFonts w:ascii="Times New Roman" w:hAnsi="Times New Roman"/>
            <w:i/>
            <w:iCs/>
            <w:color w:val="1183A0"/>
            <w:sz w:val="28"/>
            <w:szCs w:val="28"/>
            <w:u w:val="single"/>
          </w:rPr>
          <w:t>dell'art. 540 c.c.</w:t>
        </w:r>
        <w:r w:rsidRPr="00497443">
          <w:rPr>
            <w:rFonts w:ascii="Times New Roman" w:hAnsi="Times New Roman"/>
            <w:color w:val="1183A0"/>
            <w:sz w:val="28"/>
            <w:szCs w:val="28"/>
            <w:u w:val="single"/>
          </w:rPr>
          <w:t> </w:t>
        </w:r>
      </w:hyperlink>
      <w:r w:rsidRPr="00497443">
        <w:rPr>
          <w:rFonts w:ascii="Times New Roman" w:hAnsi="Times New Roman"/>
          <w:sz w:val="28"/>
          <w:szCs w:val="28"/>
        </w:rPr>
        <w:t xml:space="preserve">(attributivo al coniuge superstite dei diritti di abitazione della casa familiare in proprietà del de cuius e di uso della relativa mobilia) </w:t>
      </w:r>
      <w:r w:rsidRPr="005B093B">
        <w:rPr>
          <w:rFonts w:ascii="Times New Roman" w:hAnsi="Times New Roman"/>
          <w:sz w:val="28"/>
          <w:szCs w:val="28"/>
          <w:highlight w:val="yellow"/>
        </w:rPr>
        <w:t>opererebbe solo nell'ambito della successione necessaria e non nell'ambito della successione legittima; cosicchè, nel caso di successione legittima, l'abitazione, da parte del coniuge superstite, della casa familiare già in proprietà, anche parziale, del de cuius implicherebbe logicamente l'applicazione </w:t>
      </w:r>
      <w:hyperlink r:id="rId12" w:anchor="id=05AC00000433,__m=document" w:history="1">
        <w:r w:rsidRPr="005B093B">
          <w:rPr>
            <w:rFonts w:ascii="Times New Roman" w:hAnsi="Times New Roman"/>
            <w:i/>
            <w:iCs/>
            <w:color w:val="1183A0"/>
            <w:sz w:val="28"/>
            <w:szCs w:val="28"/>
            <w:highlight w:val="yellow"/>
            <w:u w:val="single"/>
          </w:rPr>
          <w:t>dell'art. 485 c.c.</w:t>
        </w:r>
        <w:r w:rsidRPr="005B093B">
          <w:rPr>
            <w:rFonts w:ascii="Times New Roman" w:hAnsi="Times New Roman"/>
            <w:color w:val="1183A0"/>
            <w:sz w:val="28"/>
            <w:szCs w:val="28"/>
            <w:highlight w:val="yellow"/>
            <w:u w:val="single"/>
          </w:rPr>
          <w:t> </w:t>
        </w:r>
      </w:hyperlink>
      <w:r w:rsidRPr="005B093B">
        <w:rPr>
          <w:rFonts w:ascii="Times New Roman" w:hAnsi="Times New Roman"/>
          <w:sz w:val="28"/>
          <w:szCs w:val="28"/>
          <w:highlight w:val="yellow"/>
        </w:rPr>
        <w:t>, ai cui fini è sufficiente che il possesso riguardi anche uno solo dei beni ereditari (e dunque anche solo la quota della casa coniugale già di proprietà del "de cuius").</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highlight w:val="yellow"/>
        </w:rPr>
        <w:t>Detto orientamento</w:t>
      </w:r>
      <w:r w:rsidRPr="00497443">
        <w:rPr>
          <w:rFonts w:ascii="Times New Roman" w:hAnsi="Times New Roman"/>
          <w:sz w:val="28"/>
          <w:szCs w:val="28"/>
        </w:rPr>
        <w:t xml:space="preserve"> - compiutamente espresso nella sentenza di questa Corte n. 11018/08, richiamata sia nel ricorso dell'Agenzia che nel controricorso di Equitalia Nord - </w:t>
      </w:r>
      <w:r w:rsidRPr="00497443">
        <w:rPr>
          <w:rFonts w:ascii="Times New Roman" w:hAnsi="Times New Roman"/>
          <w:sz w:val="28"/>
          <w:szCs w:val="28"/>
          <w:highlight w:val="yellow"/>
        </w:rPr>
        <w:t>è stato però superato dalle Sezioni Unite, che, con la sentenza n. 4847/13</w:t>
      </w:r>
      <w:r w:rsidRPr="00497443">
        <w:rPr>
          <w:rFonts w:ascii="Times New Roman" w:hAnsi="Times New Roman"/>
          <w:sz w:val="28"/>
          <w:szCs w:val="28"/>
        </w:rPr>
        <w:t xml:space="preserve">, </w:t>
      </w:r>
      <w:r w:rsidRPr="00497443">
        <w:rPr>
          <w:rFonts w:ascii="Times New Roman" w:hAnsi="Times New Roman"/>
          <w:sz w:val="28"/>
          <w:szCs w:val="28"/>
          <w:highlight w:val="yellow"/>
        </w:rPr>
        <w:t xml:space="preserve">hanno affermato l'opposto principio che </w:t>
      </w:r>
      <w:r w:rsidRPr="00497443">
        <w:rPr>
          <w:rFonts w:ascii="Times New Roman" w:hAnsi="Times New Roman"/>
          <w:b/>
          <w:sz w:val="28"/>
          <w:szCs w:val="28"/>
          <w:highlight w:val="yellow"/>
          <w:u w:val="single"/>
        </w:rPr>
        <w:t>anche nella successione legittima spettano al coniuge superstite i diritti di abitazione</w:t>
      </w:r>
      <w:r w:rsidRPr="00497443">
        <w:rPr>
          <w:rFonts w:ascii="Times New Roman" w:hAnsi="Times New Roman"/>
          <w:sz w:val="28"/>
          <w:szCs w:val="28"/>
          <w:highlight w:val="yellow"/>
        </w:rPr>
        <w:t xml:space="preserve"> nella casa familiare e di uso della relativa mobilia.</w:t>
      </w:r>
    </w:p>
    <w:p w:rsidR="003F5120" w:rsidRPr="00497443" w:rsidRDefault="003F5120" w:rsidP="00497443">
      <w:pPr>
        <w:spacing w:before="100" w:beforeAutospacing="1" w:after="20" w:line="240" w:lineRule="auto"/>
        <w:jc w:val="both"/>
        <w:rPr>
          <w:rFonts w:ascii="Times New Roman" w:hAnsi="Times New Roman"/>
          <w:sz w:val="28"/>
          <w:szCs w:val="28"/>
        </w:rPr>
      </w:pPr>
      <w:r w:rsidRPr="0088674C">
        <w:rPr>
          <w:rFonts w:ascii="Times New Roman" w:hAnsi="Times New Roman"/>
          <w:b/>
          <w:sz w:val="36"/>
          <w:szCs w:val="28"/>
          <w:highlight w:val="yellow"/>
        </w:rPr>
        <w:t>Alla luce del richiamato orientamento delle Sezioni Unite, il solo fatto della permanenza del coniuge superstite nella casa familiare già in proprietà, anche parziale, del de cuius non può dunque ritenersi necessariamente una manifestazione di possesso dei beni ereditari, potendo esso manifestare il mero esercizio dei diritti di abitazione e di uso</w:t>
      </w:r>
      <w:r w:rsidRPr="00497443">
        <w:rPr>
          <w:rFonts w:ascii="Times New Roman" w:hAnsi="Times New Roman"/>
          <w:b/>
          <w:sz w:val="28"/>
          <w:szCs w:val="28"/>
        </w:rPr>
        <w:t>.</w:t>
      </w:r>
      <w:r w:rsidRPr="00497443">
        <w:rPr>
          <w:rFonts w:ascii="Times New Roman" w:hAnsi="Times New Roman"/>
          <w:sz w:val="28"/>
          <w:szCs w:val="28"/>
        </w:rPr>
        <w:t xml:space="preserve"> In questo senso peraltro, </w:t>
      </w:r>
      <w:r w:rsidRPr="00497443">
        <w:rPr>
          <w:rFonts w:ascii="Times New Roman" w:hAnsi="Times New Roman"/>
          <w:sz w:val="28"/>
          <w:szCs w:val="28"/>
          <w:highlight w:val="yellow"/>
        </w:rPr>
        <w:t>già nel 2008, si era espressa la Sezione tributaria con la sentenza n. 1920/08</w:t>
      </w:r>
      <w:r w:rsidRPr="00497443">
        <w:rPr>
          <w:rFonts w:ascii="Times New Roman" w:hAnsi="Times New Roman"/>
          <w:sz w:val="28"/>
          <w:szCs w:val="28"/>
        </w:rPr>
        <w:t xml:space="preserve">, </w:t>
      </w:r>
      <w:r w:rsidRPr="00497443">
        <w:rPr>
          <w:rFonts w:ascii="Times New Roman" w:hAnsi="Times New Roman"/>
          <w:sz w:val="28"/>
          <w:szCs w:val="28"/>
          <w:highlight w:val="yellow"/>
        </w:rPr>
        <w:t>ove si precisava che i diritti di abitazione e di uso previsti</w:t>
      </w:r>
      <w:r w:rsidRPr="00497443">
        <w:rPr>
          <w:rFonts w:ascii="Times New Roman" w:hAnsi="Times New Roman"/>
          <w:sz w:val="28"/>
          <w:szCs w:val="28"/>
        </w:rPr>
        <w:t> </w:t>
      </w:r>
      <w:hyperlink r:id="rId13" w:anchor="id=05AC00000372,__m=document" w:history="1">
        <w:r w:rsidRPr="00497443">
          <w:rPr>
            <w:rFonts w:ascii="Times New Roman" w:hAnsi="Times New Roman"/>
            <w:i/>
            <w:iCs/>
            <w:color w:val="1183A0"/>
            <w:sz w:val="28"/>
            <w:szCs w:val="28"/>
            <w:u w:val="single"/>
          </w:rPr>
          <w:t>dall'art. 540 c.c.</w:t>
        </w:r>
        <w:r w:rsidRPr="00497443">
          <w:rPr>
            <w:rFonts w:ascii="Times New Roman" w:hAnsi="Times New Roman"/>
            <w:color w:val="1183A0"/>
            <w:sz w:val="28"/>
            <w:szCs w:val="28"/>
            <w:u w:val="single"/>
          </w:rPr>
          <w:t> </w:t>
        </w:r>
      </w:hyperlink>
      <w:r w:rsidRPr="00497443">
        <w:rPr>
          <w:rFonts w:ascii="Times New Roman" w:hAnsi="Times New Roman"/>
          <w:sz w:val="28"/>
          <w:szCs w:val="28"/>
          <w:highlight w:val="yellow"/>
        </w:rPr>
        <w:t>a favore del coniuge superstite non sorgono in capo a quest'ultimo a titolo successorio - derivativo, bensì a diverso titolo, costitutivo, fondato sulla qualità di coniuge</w:t>
      </w:r>
      <w:r w:rsidRPr="00497443">
        <w:rPr>
          <w:rFonts w:ascii="Times New Roman" w:hAnsi="Times New Roman"/>
          <w:sz w:val="28"/>
          <w:szCs w:val="28"/>
        </w:rPr>
        <w:t xml:space="preserve"> e prescindente dai diritti successori. Cosicchè </w:t>
      </w:r>
      <w:r w:rsidRPr="00497443">
        <w:rPr>
          <w:rFonts w:ascii="Times New Roman" w:hAnsi="Times New Roman"/>
          <w:sz w:val="28"/>
          <w:szCs w:val="28"/>
          <w:highlight w:val="yellow"/>
        </w:rPr>
        <w:t xml:space="preserve">"Il titolo che abilita il coniuge al possesso del bene trova giustificazione nella norma civilistica che lo attribuisce indipendentemente dalla qualità di erede, con cui del resto il diritto di abitazione non ha nulla da spartire, essendo tale diritto acquisito, semmai, in forza di </w:t>
      </w:r>
      <w:r w:rsidRPr="00497443">
        <w:rPr>
          <w:rFonts w:ascii="Times New Roman" w:hAnsi="Times New Roman"/>
          <w:b/>
          <w:sz w:val="28"/>
          <w:szCs w:val="28"/>
          <w:highlight w:val="yellow"/>
        </w:rPr>
        <w:t>legato ex lege</w:t>
      </w:r>
      <w:r w:rsidRPr="00497443">
        <w:rPr>
          <w:rFonts w:ascii="Times New Roman" w:hAnsi="Times New Roman"/>
          <w:sz w:val="28"/>
          <w:szCs w:val="28"/>
          <w:highlight w:val="yellow"/>
        </w:rPr>
        <w:t>".</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La doglianza della difesa erariale, oltre che inammissibile, perchè fondata su presupposti di fatto diversi rispetto all'accertamento di fatto operato in sentenza con statuizione non censurata ai sensi </w:t>
      </w:r>
      <w:hyperlink r:id="rId14" w:anchor="id=05AC00005029,__m=document" w:history="1">
        <w:r w:rsidRPr="00497443">
          <w:rPr>
            <w:rFonts w:ascii="Times New Roman" w:hAnsi="Times New Roman"/>
            <w:i/>
            <w:iCs/>
            <w:color w:val="1183A0"/>
            <w:sz w:val="28"/>
            <w:szCs w:val="28"/>
            <w:u w:val="single"/>
          </w:rPr>
          <w:t>dell'art. 360 c.p.c.</w:t>
        </w:r>
        <w:r w:rsidRPr="00497443">
          <w:rPr>
            <w:rFonts w:ascii="Times New Roman" w:hAnsi="Times New Roman"/>
            <w:color w:val="1183A0"/>
            <w:sz w:val="28"/>
            <w:szCs w:val="28"/>
            <w:u w:val="single"/>
          </w:rPr>
          <w:t> </w:t>
        </w:r>
      </w:hyperlink>
      <w:r w:rsidRPr="00497443">
        <w:rPr>
          <w:rFonts w:ascii="Times New Roman" w:hAnsi="Times New Roman"/>
          <w:sz w:val="28"/>
          <w:szCs w:val="28"/>
        </w:rPr>
        <w:t>, n. 5, appare dunque giuridicamente infondata.</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Quanto al riferimento del controricorso di Equitalia Nord ad una sentenza della Corte di Appello di Genova che, in contraddittorio con l'INPS, avrebbe accertato che la contribuente è erede del sig. B., è sufficiente osservare, in via del tutto preliminare, che nel controricorso non si da atto della produzione in giudizio di tale documento, nè, quindi, dell'osservanza dell'adempimento di cui </w:t>
      </w:r>
      <w:hyperlink r:id="rId15" w:anchor="id=05AC00005015,__m=document" w:history="1">
        <w:r w:rsidRPr="00497443">
          <w:rPr>
            <w:rFonts w:ascii="Times New Roman" w:hAnsi="Times New Roman"/>
            <w:i/>
            <w:iCs/>
            <w:color w:val="1183A0"/>
            <w:sz w:val="28"/>
            <w:szCs w:val="28"/>
            <w:u w:val="single"/>
          </w:rPr>
          <w:t>all'art. 372 c.p.c..</w:t>
        </w:r>
      </w:hyperlink>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Si propone il rigetto del ricorso.</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 xml:space="preserve">Che </w:t>
      </w:r>
      <w:r>
        <w:rPr>
          <w:rFonts w:ascii="Times New Roman" w:hAnsi="Times New Roman"/>
          <w:sz w:val="28"/>
          <w:szCs w:val="28"/>
        </w:rPr>
        <w:t>l</w:t>
      </w:r>
      <w:r w:rsidRPr="00497443">
        <w:rPr>
          <w:rFonts w:ascii="Times New Roman" w:hAnsi="Times New Roman"/>
          <w:sz w:val="28"/>
          <w:szCs w:val="28"/>
        </w:rPr>
        <w:t>a contribuente non si è costituita in questa sede,  mentre Equitalia Nord ha depositato controricorso;</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che la relazione è stata notificata alle parti costituite;</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che non sono state depositate memorie difensive;</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che il Collegio condivide gli argomenti esposti nella relazione;</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che, pertanto, si deve rigettare il ricorso;</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che non vi è luogo a regolazione di spese tra la ricorrente e la contribuente, non essendosi quest'ultima costituita in questa sede, mentre si compensano le spese tra la ricorrente ed Equitalia Nord;</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che non sussistono i presupposti per il versamento del doppio contributo unificato da parte della ricorrente, perchè il disposto del </w:t>
      </w:r>
      <w:hyperlink r:id="rId16" w:anchor="id=10LX0000151122ART0,__m=document" w:history="1">
        <w:r w:rsidRPr="00497443">
          <w:rPr>
            <w:rFonts w:ascii="Times New Roman" w:hAnsi="Times New Roman"/>
            <w:i/>
            <w:iCs/>
            <w:color w:val="1183A0"/>
            <w:sz w:val="28"/>
            <w:szCs w:val="28"/>
            <w:u w:val="single"/>
          </w:rPr>
          <w:t>D.P.R. n. 115 del 2002,</w:t>
        </w:r>
      </w:hyperlink>
      <w:r w:rsidRPr="00497443">
        <w:rPr>
          <w:rFonts w:ascii="Times New Roman" w:hAnsi="Times New Roman"/>
          <w:i/>
          <w:iCs/>
          <w:sz w:val="28"/>
          <w:szCs w:val="28"/>
        </w:rPr>
        <w:t> art. </w:t>
      </w:r>
      <w:hyperlink r:id="rId17" w:anchor="id=10LX0000151122ART14,__m=document" w:history="1">
        <w:r w:rsidRPr="00497443">
          <w:rPr>
            <w:rFonts w:ascii="Times New Roman" w:hAnsi="Times New Roman"/>
            <w:i/>
            <w:iCs/>
            <w:color w:val="1183A0"/>
            <w:sz w:val="28"/>
            <w:szCs w:val="28"/>
            <w:u w:val="single"/>
          </w:rPr>
          <w:t>13, comma 1</w:t>
        </w:r>
      </w:hyperlink>
      <w:r w:rsidRPr="00497443">
        <w:rPr>
          <w:rFonts w:ascii="Times New Roman" w:hAnsi="Times New Roman"/>
          <w:sz w:val="28"/>
          <w:szCs w:val="28"/>
        </w:rPr>
        <w:t>quater, non si applica all'Agenzia delle entrate (Cass. SSUU 9938/14).</w:t>
      </w:r>
    </w:p>
    <w:bookmarkStart w:id="2" w:name="dispositivo"/>
    <w:p w:rsidR="003F5120" w:rsidRPr="00497443" w:rsidRDefault="003F5120" w:rsidP="00497443">
      <w:pPr>
        <w:spacing w:after="167" w:line="240" w:lineRule="auto"/>
        <w:jc w:val="center"/>
        <w:outlineLvl w:val="0"/>
        <w:rPr>
          <w:rFonts w:ascii="Times New Roman" w:hAnsi="Times New Roman"/>
          <w:kern w:val="36"/>
          <w:sz w:val="28"/>
          <w:szCs w:val="28"/>
        </w:rPr>
      </w:pPr>
      <w:r w:rsidRPr="00497443">
        <w:rPr>
          <w:rFonts w:ascii="Times New Roman" w:hAnsi="Times New Roman"/>
          <w:kern w:val="36"/>
          <w:sz w:val="28"/>
          <w:szCs w:val="28"/>
        </w:rPr>
        <w:fldChar w:fldCharType="begin"/>
      </w:r>
      <w:r w:rsidRPr="00497443">
        <w:rPr>
          <w:rFonts w:ascii="Times New Roman" w:hAnsi="Times New Roman"/>
          <w:kern w:val="36"/>
          <w:sz w:val="28"/>
          <w:szCs w:val="28"/>
        </w:rPr>
        <w:instrText xml:space="preserve"> HYPERLINK "http://studiolegale.leggiditalia.it/rest?print=1" \l "dispositivo_up" </w:instrText>
      </w:r>
      <w:r w:rsidRPr="00C9793E">
        <w:rPr>
          <w:rFonts w:ascii="Times New Roman" w:hAnsi="Times New Roman"/>
          <w:kern w:val="36"/>
          <w:sz w:val="28"/>
          <w:szCs w:val="28"/>
        </w:rPr>
      </w:r>
      <w:r w:rsidRPr="00497443">
        <w:rPr>
          <w:rFonts w:ascii="Times New Roman" w:hAnsi="Times New Roman"/>
          <w:kern w:val="36"/>
          <w:sz w:val="28"/>
          <w:szCs w:val="28"/>
        </w:rPr>
        <w:fldChar w:fldCharType="separate"/>
      </w:r>
      <w:r w:rsidRPr="00497443">
        <w:rPr>
          <w:rFonts w:ascii="Times New Roman" w:hAnsi="Times New Roman"/>
          <w:b/>
          <w:bCs/>
          <w:color w:val="1183A0"/>
          <w:kern w:val="36"/>
          <w:sz w:val="28"/>
          <w:szCs w:val="28"/>
          <w:u w:val="single"/>
        </w:rPr>
        <w:t>P.Q.M.</w:t>
      </w:r>
      <w:r w:rsidRPr="00497443">
        <w:rPr>
          <w:rFonts w:ascii="Times New Roman" w:hAnsi="Times New Roman"/>
          <w:kern w:val="36"/>
          <w:sz w:val="28"/>
          <w:szCs w:val="28"/>
        </w:rPr>
        <w:fldChar w:fldCharType="end"/>
      </w:r>
      <w:bookmarkEnd w:id="2"/>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La Corte rigetta il ricorso e compensa le spese tra la ricorrente ed Equitalia Nord. Così deciso in Roma, il 10 dicembre 2015.</w:t>
      </w:r>
    </w:p>
    <w:p w:rsidR="003F5120" w:rsidRPr="00497443" w:rsidRDefault="003F5120" w:rsidP="00497443">
      <w:pPr>
        <w:spacing w:before="100" w:beforeAutospacing="1" w:after="20" w:line="240" w:lineRule="auto"/>
        <w:jc w:val="both"/>
        <w:rPr>
          <w:rFonts w:ascii="Times New Roman" w:hAnsi="Times New Roman"/>
          <w:sz w:val="28"/>
          <w:szCs w:val="28"/>
        </w:rPr>
      </w:pPr>
      <w:r w:rsidRPr="00497443">
        <w:rPr>
          <w:rFonts w:ascii="Times New Roman" w:hAnsi="Times New Roman"/>
          <w:sz w:val="28"/>
          <w:szCs w:val="28"/>
        </w:rPr>
        <w:t>Depositato in Cancelleria il 27 gennaio 2016</w:t>
      </w:r>
    </w:p>
    <w:p w:rsidR="003F5120" w:rsidRDefault="003F5120">
      <w:pPr>
        <w:rPr>
          <w:sz w:val="28"/>
          <w:szCs w:val="28"/>
        </w:rPr>
      </w:pPr>
    </w:p>
    <w:p w:rsidR="003F5120" w:rsidRDefault="003F5120">
      <w:pPr>
        <w:rPr>
          <w:sz w:val="28"/>
          <w:szCs w:val="28"/>
        </w:rPr>
      </w:pPr>
    </w:p>
    <w:p w:rsidR="003F5120" w:rsidRDefault="003F5120">
      <w:pPr>
        <w:rPr>
          <w:sz w:val="28"/>
          <w:szCs w:val="28"/>
        </w:rPr>
      </w:pPr>
    </w:p>
    <w:p w:rsidR="003F5120" w:rsidRDefault="003F5120">
      <w:pPr>
        <w:rPr>
          <w:sz w:val="28"/>
          <w:szCs w:val="28"/>
        </w:rPr>
      </w:pPr>
    </w:p>
    <w:p w:rsidR="003F5120" w:rsidRDefault="003F5120">
      <w:pPr>
        <w:rPr>
          <w:sz w:val="28"/>
          <w:szCs w:val="28"/>
        </w:rPr>
      </w:pPr>
    </w:p>
    <w:p w:rsidR="003F5120" w:rsidRDefault="003F5120">
      <w:pPr>
        <w:rPr>
          <w:sz w:val="28"/>
          <w:szCs w:val="28"/>
        </w:rPr>
      </w:pPr>
    </w:p>
    <w:p w:rsidR="003F5120" w:rsidRDefault="003F5120">
      <w:pPr>
        <w:rPr>
          <w:sz w:val="28"/>
          <w:szCs w:val="28"/>
        </w:rPr>
      </w:pPr>
    </w:p>
    <w:p w:rsidR="003F5120" w:rsidRPr="0088674C" w:rsidRDefault="003F5120" w:rsidP="0088674C">
      <w:pPr>
        <w:shd w:val="clear" w:color="auto" w:fill="FFFFFF"/>
        <w:spacing w:after="0" w:line="240" w:lineRule="auto"/>
        <w:rPr>
          <w:rFonts w:ascii="Times New Roman" w:hAnsi="Times New Roman"/>
          <w:b/>
          <w:bCs/>
          <w:sz w:val="28"/>
        </w:rPr>
      </w:pPr>
      <w:r w:rsidRPr="0088674C">
        <w:rPr>
          <w:rFonts w:ascii="Times New Roman" w:hAnsi="Times New Roman"/>
          <w:b/>
          <w:bCs/>
          <w:sz w:val="28"/>
          <w:highlight w:val="yellow"/>
        </w:rPr>
        <w:t>Cass. civ.</w:t>
      </w:r>
      <w:r w:rsidRPr="0088674C">
        <w:rPr>
          <w:rFonts w:ascii="Times New Roman" w:hAnsi="Times New Roman"/>
          <w:b/>
          <w:bCs/>
          <w:sz w:val="28"/>
        </w:rPr>
        <w:t xml:space="preserve"> Sez. VI - 5 Ordinanza, </w:t>
      </w:r>
      <w:r w:rsidRPr="0088674C">
        <w:rPr>
          <w:rFonts w:ascii="Times New Roman" w:hAnsi="Times New Roman"/>
          <w:b/>
          <w:bCs/>
          <w:sz w:val="28"/>
          <w:highlight w:val="yellow"/>
        </w:rPr>
        <w:t>27-01-2016</w:t>
      </w:r>
      <w:r w:rsidRPr="0088674C">
        <w:rPr>
          <w:rFonts w:ascii="Times New Roman" w:hAnsi="Times New Roman"/>
          <w:b/>
          <w:bCs/>
          <w:sz w:val="28"/>
        </w:rPr>
        <w:t xml:space="preserve">, </w:t>
      </w:r>
      <w:r w:rsidRPr="0088674C">
        <w:rPr>
          <w:rFonts w:ascii="Times New Roman" w:hAnsi="Times New Roman"/>
          <w:b/>
          <w:bCs/>
          <w:sz w:val="28"/>
          <w:highlight w:val="yellow"/>
        </w:rPr>
        <w:t>n. 1588</w:t>
      </w:r>
    </w:p>
    <w:p w:rsidR="003F5120" w:rsidRPr="0088674C" w:rsidRDefault="003F5120" w:rsidP="0088674C">
      <w:pPr>
        <w:shd w:val="clear" w:color="auto" w:fill="FFFFFF"/>
        <w:spacing w:line="240" w:lineRule="auto"/>
        <w:rPr>
          <w:rFonts w:ascii="Times New Roman" w:hAnsi="Times New Roman"/>
          <w:b/>
          <w:bCs/>
          <w:sz w:val="28"/>
        </w:rPr>
      </w:pPr>
      <w:r w:rsidRPr="0088674C">
        <w:rPr>
          <w:rFonts w:ascii="Times New Roman" w:hAnsi="Times New Roman"/>
          <w:b/>
          <w:bCs/>
          <w:sz w:val="28"/>
        </w:rPr>
        <w:t>Agenzia delle Entrate c. Eq.No. S.p.A. e altri</w:t>
      </w:r>
    </w:p>
    <w:p w:rsidR="003F5120" w:rsidRDefault="003F5120" w:rsidP="0088674C">
      <w:pPr>
        <w:shd w:val="clear" w:color="auto" w:fill="FFFFFF"/>
        <w:spacing w:after="0" w:line="240" w:lineRule="auto"/>
        <w:rPr>
          <w:rFonts w:ascii="Times New Roman" w:hAnsi="Times New Roman"/>
          <w:sz w:val="28"/>
        </w:rPr>
      </w:pPr>
      <w:r w:rsidRPr="0088674C">
        <w:rPr>
          <w:rFonts w:ascii="Times New Roman" w:hAnsi="Times New Roman"/>
          <w:b/>
          <w:bCs/>
          <w:sz w:val="28"/>
        </w:rPr>
        <w:t>SUCCESSIONE</w:t>
      </w:r>
      <w:r>
        <w:rPr>
          <w:rFonts w:ascii="Times New Roman" w:hAnsi="Times New Roman"/>
          <w:b/>
          <w:bCs/>
          <w:sz w:val="28"/>
        </w:rPr>
        <w:br/>
      </w:r>
      <w:r w:rsidRPr="0088674C">
        <w:rPr>
          <w:rFonts w:ascii="Times New Roman" w:hAnsi="Times New Roman"/>
          <w:sz w:val="28"/>
        </w:rPr>
        <w:t>Possesso di beni ereditari</w:t>
      </w:r>
    </w:p>
    <w:p w:rsidR="003F5120" w:rsidRPr="0088674C" w:rsidRDefault="003F5120" w:rsidP="0088674C">
      <w:pPr>
        <w:shd w:val="clear" w:color="auto" w:fill="FFFFFF"/>
        <w:spacing w:after="0" w:line="240" w:lineRule="auto"/>
        <w:rPr>
          <w:rFonts w:ascii="Times New Roman" w:hAnsi="Times New Roman"/>
          <w:sz w:val="28"/>
        </w:rPr>
      </w:pPr>
    </w:p>
    <w:p w:rsidR="003F5120" w:rsidRPr="0088674C" w:rsidRDefault="003F5120" w:rsidP="0088674C">
      <w:pPr>
        <w:shd w:val="clear" w:color="auto" w:fill="FFFFFF"/>
        <w:spacing w:after="50" w:line="240" w:lineRule="auto"/>
        <w:textAlignment w:val="baseline"/>
        <w:rPr>
          <w:rFonts w:ascii="Times New Roman" w:hAnsi="Times New Roman"/>
          <w:sz w:val="44"/>
        </w:rPr>
      </w:pPr>
      <w:r w:rsidRPr="0088674C">
        <w:rPr>
          <w:rFonts w:ascii="Times New Roman" w:hAnsi="Times New Roman"/>
          <w:sz w:val="44"/>
        </w:rPr>
        <w:t>La permanenza del coniuge superstite nella casa familiare già in proprietà, anche parziale, del de cuius non può ritenersi necessariamente una manifestazione di possesso dei beni ereditari, potendo invero manifestare il mero esercizio dei diritti di abitazione e di uso.</w:t>
      </w:r>
    </w:p>
    <w:p w:rsidR="003F5120" w:rsidRPr="0088674C" w:rsidRDefault="003F5120" w:rsidP="0088674C">
      <w:pPr>
        <w:shd w:val="clear" w:color="auto" w:fill="FFFFFF"/>
        <w:spacing w:after="50" w:line="240" w:lineRule="auto"/>
        <w:textAlignment w:val="baseline"/>
        <w:rPr>
          <w:rFonts w:ascii="Times New Roman" w:hAnsi="Times New Roman"/>
          <w:sz w:val="28"/>
        </w:rPr>
      </w:pPr>
      <w:r w:rsidRPr="0088674C">
        <w:rPr>
          <w:rFonts w:ascii="Times New Roman" w:hAnsi="Times New Roman"/>
          <w:b/>
          <w:bCs/>
          <w:sz w:val="28"/>
        </w:rPr>
        <w:t>FONTI</w:t>
      </w:r>
      <w:r w:rsidRPr="0088674C">
        <w:rPr>
          <w:rFonts w:ascii="Times New Roman" w:hAnsi="Times New Roman"/>
          <w:sz w:val="28"/>
        </w:rPr>
        <w:br/>
        <w:t>Massima redazionale, 2016</w:t>
      </w:r>
    </w:p>
    <w:p w:rsidR="003F5120" w:rsidRDefault="003F5120">
      <w:pPr>
        <w:rPr>
          <w:sz w:val="28"/>
          <w:szCs w:val="28"/>
        </w:rPr>
      </w:pPr>
    </w:p>
    <w:p w:rsidR="003F5120" w:rsidRPr="0088674C" w:rsidRDefault="003F5120" w:rsidP="0088674C">
      <w:pPr>
        <w:shd w:val="clear" w:color="auto" w:fill="FFFFFF"/>
        <w:rPr>
          <w:rFonts w:ascii="Times New Roman" w:hAnsi="Times New Roman"/>
          <w:b/>
          <w:bCs/>
          <w:sz w:val="28"/>
          <w:szCs w:val="28"/>
        </w:rPr>
      </w:pPr>
      <w:r w:rsidRPr="0088674C">
        <w:rPr>
          <w:rFonts w:ascii="Times New Roman" w:hAnsi="Times New Roman"/>
          <w:b/>
          <w:bCs/>
          <w:sz w:val="28"/>
          <w:szCs w:val="28"/>
          <w:highlight w:val="yellow"/>
        </w:rPr>
        <w:t>Cass. civ</w:t>
      </w:r>
      <w:r w:rsidRPr="0088674C">
        <w:rPr>
          <w:rFonts w:ascii="Times New Roman" w:hAnsi="Times New Roman"/>
          <w:b/>
          <w:bCs/>
          <w:sz w:val="28"/>
          <w:szCs w:val="28"/>
        </w:rPr>
        <w:t xml:space="preserve">. Sez. VI - 5 Ordinanza, </w:t>
      </w:r>
      <w:r w:rsidRPr="0088674C">
        <w:rPr>
          <w:rFonts w:ascii="Times New Roman" w:hAnsi="Times New Roman"/>
          <w:b/>
          <w:bCs/>
          <w:sz w:val="28"/>
          <w:szCs w:val="28"/>
          <w:highlight w:val="yellow"/>
        </w:rPr>
        <w:t>27-01-2016</w:t>
      </w:r>
      <w:r w:rsidRPr="0088674C">
        <w:rPr>
          <w:rFonts w:ascii="Times New Roman" w:hAnsi="Times New Roman"/>
          <w:b/>
          <w:bCs/>
          <w:sz w:val="28"/>
          <w:szCs w:val="28"/>
        </w:rPr>
        <w:t xml:space="preserve">, </w:t>
      </w:r>
      <w:r w:rsidRPr="0088674C">
        <w:rPr>
          <w:rFonts w:ascii="Times New Roman" w:hAnsi="Times New Roman"/>
          <w:b/>
          <w:bCs/>
          <w:sz w:val="28"/>
          <w:szCs w:val="28"/>
          <w:highlight w:val="yellow"/>
        </w:rPr>
        <w:t>n. 1588</w:t>
      </w:r>
    </w:p>
    <w:p w:rsidR="003F5120" w:rsidRPr="0088674C" w:rsidRDefault="003F5120" w:rsidP="0088674C">
      <w:pPr>
        <w:shd w:val="clear" w:color="auto" w:fill="FFFFFF"/>
        <w:rPr>
          <w:rFonts w:ascii="Times New Roman" w:hAnsi="Times New Roman"/>
          <w:b/>
          <w:bCs/>
          <w:sz w:val="28"/>
          <w:szCs w:val="28"/>
        </w:rPr>
      </w:pPr>
      <w:r w:rsidRPr="0088674C">
        <w:rPr>
          <w:rFonts w:ascii="Times New Roman" w:hAnsi="Times New Roman"/>
          <w:b/>
          <w:bCs/>
          <w:sz w:val="28"/>
          <w:szCs w:val="28"/>
        </w:rPr>
        <w:t>Agenzia delle Entrate c. E. S.p.A.</w:t>
      </w:r>
    </w:p>
    <w:p w:rsidR="003F5120" w:rsidRPr="0088674C" w:rsidRDefault="003F5120" w:rsidP="0088674C">
      <w:pPr>
        <w:shd w:val="clear" w:color="auto" w:fill="FFFFFF"/>
        <w:rPr>
          <w:rFonts w:ascii="Times New Roman" w:hAnsi="Times New Roman"/>
          <w:sz w:val="28"/>
          <w:szCs w:val="28"/>
        </w:rPr>
      </w:pPr>
      <w:r w:rsidRPr="0088674C">
        <w:rPr>
          <w:rStyle w:val="massgeclassl1"/>
          <w:rFonts w:ascii="Times New Roman" w:hAnsi="Times New Roman"/>
          <w:b/>
          <w:bCs/>
          <w:sz w:val="28"/>
          <w:szCs w:val="28"/>
        </w:rPr>
        <w:t>SUCCESSIONE</w:t>
      </w:r>
      <w:r>
        <w:rPr>
          <w:rStyle w:val="massgeclassl1"/>
          <w:rFonts w:ascii="Times New Roman" w:hAnsi="Times New Roman"/>
          <w:b/>
          <w:bCs/>
          <w:sz w:val="28"/>
          <w:szCs w:val="28"/>
        </w:rPr>
        <w:br/>
      </w:r>
      <w:r w:rsidRPr="0088674C">
        <w:rPr>
          <w:rStyle w:val="massgeclassl2"/>
          <w:rFonts w:ascii="Times New Roman" w:hAnsi="Times New Roman"/>
          <w:sz w:val="28"/>
          <w:szCs w:val="28"/>
        </w:rPr>
        <w:t>Coniuge superstite</w:t>
      </w:r>
    </w:p>
    <w:p w:rsidR="003F5120" w:rsidRPr="0088674C" w:rsidRDefault="003F5120" w:rsidP="0088674C">
      <w:pPr>
        <w:pStyle w:val="NormalWeb"/>
        <w:shd w:val="clear" w:color="auto" w:fill="FFFFFF"/>
        <w:spacing w:before="0" w:beforeAutospacing="0" w:after="50" w:afterAutospacing="0"/>
        <w:textAlignment w:val="baseline"/>
        <w:rPr>
          <w:sz w:val="28"/>
          <w:szCs w:val="28"/>
        </w:rPr>
      </w:pPr>
      <w:r w:rsidRPr="00DE0EF3">
        <w:rPr>
          <w:sz w:val="28"/>
          <w:szCs w:val="28"/>
          <w:highlight w:val="yellow"/>
        </w:rPr>
        <w:t>Poiché i diritti d'abitazione</w:t>
      </w:r>
      <w:r w:rsidRPr="0088674C">
        <w:rPr>
          <w:sz w:val="28"/>
          <w:szCs w:val="28"/>
        </w:rPr>
        <w:t xml:space="preserve"> sulla casa adibita a residenza familiare e d'uso sui mobili che la corredano di cui</w:t>
      </w:r>
      <w:r w:rsidRPr="0088674C">
        <w:rPr>
          <w:rStyle w:val="apple-converted-space"/>
          <w:sz w:val="28"/>
          <w:szCs w:val="28"/>
        </w:rPr>
        <w:t> </w:t>
      </w:r>
      <w:hyperlink r:id="rId18" w:anchor="id=05AC00000372,__m=document" w:history="1">
        <w:r w:rsidRPr="0088674C">
          <w:rPr>
            <w:rStyle w:val="Hyperlink"/>
            <w:color w:val="auto"/>
            <w:sz w:val="28"/>
            <w:szCs w:val="28"/>
          </w:rPr>
          <w:t>all'art. 540 c.c.</w:t>
        </w:r>
      </w:hyperlink>
      <w:r>
        <w:rPr>
          <w:sz w:val="28"/>
          <w:szCs w:val="28"/>
        </w:rPr>
        <w:t xml:space="preserve"> </w:t>
      </w:r>
      <w:r w:rsidRPr="00DE0EF3">
        <w:rPr>
          <w:sz w:val="28"/>
          <w:szCs w:val="28"/>
          <w:highlight w:val="yellow"/>
        </w:rPr>
        <w:t>spettano al coniuge superstite</w:t>
      </w:r>
      <w:r w:rsidRPr="0088674C">
        <w:rPr>
          <w:sz w:val="28"/>
          <w:szCs w:val="28"/>
        </w:rPr>
        <w:t xml:space="preserve"> anche nella successione ab intestato </w:t>
      </w:r>
      <w:r w:rsidRPr="00DE0EF3">
        <w:rPr>
          <w:sz w:val="28"/>
          <w:szCs w:val="28"/>
          <w:highlight w:val="yellow"/>
        </w:rPr>
        <w:t>a titolo di legato ex lege</w:t>
      </w:r>
      <w:r w:rsidRPr="0088674C">
        <w:rPr>
          <w:sz w:val="28"/>
          <w:szCs w:val="28"/>
        </w:rPr>
        <w:t xml:space="preserve">, </w:t>
      </w:r>
      <w:r w:rsidRPr="00DE0EF3">
        <w:rPr>
          <w:sz w:val="28"/>
          <w:szCs w:val="28"/>
          <w:highlight w:val="yellow"/>
        </w:rPr>
        <w:t>il possesso della casa familiare da parte di quest'ultimo non integra la fattispecie di "possesso dei beni ereditari da parte del chiamato all'eredità" ai sensi e per gli effetti</w:t>
      </w:r>
      <w:r w:rsidRPr="00DE0EF3">
        <w:rPr>
          <w:rStyle w:val="apple-converted-space"/>
          <w:sz w:val="28"/>
          <w:szCs w:val="28"/>
          <w:highlight w:val="yellow"/>
        </w:rPr>
        <w:t> </w:t>
      </w:r>
      <w:hyperlink r:id="rId19" w:anchor="id=05AC00000433,__m=document" w:history="1">
        <w:r w:rsidRPr="00DE0EF3">
          <w:rPr>
            <w:rStyle w:val="Hyperlink"/>
            <w:color w:val="auto"/>
            <w:sz w:val="28"/>
            <w:szCs w:val="28"/>
            <w:highlight w:val="yellow"/>
          </w:rPr>
          <w:t>dell'art. 485 c.c.</w:t>
        </w:r>
      </w:hyperlink>
    </w:p>
    <w:p w:rsidR="003F5120" w:rsidRDefault="003F5120">
      <w:pPr>
        <w:rPr>
          <w:sz w:val="28"/>
          <w:szCs w:val="28"/>
        </w:rPr>
      </w:pPr>
    </w:p>
    <w:p w:rsidR="003F5120" w:rsidRDefault="003F5120">
      <w:pPr>
        <w:rPr>
          <w:sz w:val="28"/>
          <w:szCs w:val="28"/>
        </w:rPr>
      </w:pPr>
    </w:p>
    <w:p w:rsidR="003F5120" w:rsidRPr="00497443" w:rsidRDefault="003F5120">
      <w:pPr>
        <w:rPr>
          <w:sz w:val="28"/>
          <w:szCs w:val="28"/>
        </w:rPr>
      </w:pPr>
    </w:p>
    <w:sectPr w:rsidR="003F5120" w:rsidRPr="00497443" w:rsidSect="000A243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7443"/>
    <w:rsid w:val="000A243A"/>
    <w:rsid w:val="000D147C"/>
    <w:rsid w:val="00133351"/>
    <w:rsid w:val="003F5120"/>
    <w:rsid w:val="00497443"/>
    <w:rsid w:val="00530617"/>
    <w:rsid w:val="0057201C"/>
    <w:rsid w:val="005B093B"/>
    <w:rsid w:val="006B4A9A"/>
    <w:rsid w:val="0088674C"/>
    <w:rsid w:val="00C9793E"/>
    <w:rsid w:val="00DE0EF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47C"/>
    <w:pPr>
      <w:spacing w:after="200" w:line="276" w:lineRule="auto"/>
    </w:pPr>
  </w:style>
  <w:style w:type="paragraph" w:styleId="Heading1">
    <w:name w:val="heading 1"/>
    <w:basedOn w:val="Normal"/>
    <w:link w:val="Heading1Char"/>
    <w:uiPriority w:val="99"/>
    <w:qFormat/>
    <w:rsid w:val="00497443"/>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7443"/>
    <w:rPr>
      <w:rFonts w:ascii="Times New Roman" w:hAnsi="Times New Roman" w:cs="Times New Roman"/>
      <w:b/>
      <w:bCs/>
      <w:kern w:val="36"/>
      <w:sz w:val="48"/>
      <w:szCs w:val="48"/>
    </w:rPr>
  </w:style>
  <w:style w:type="character" w:customStyle="1" w:styleId="sentclassl1">
    <w:name w:val="sent_class_l1"/>
    <w:basedOn w:val="DefaultParagraphFont"/>
    <w:uiPriority w:val="99"/>
    <w:rsid w:val="00497443"/>
    <w:rPr>
      <w:rFonts w:cs="Times New Roman"/>
    </w:rPr>
  </w:style>
  <w:style w:type="character" w:styleId="Hyperlink">
    <w:name w:val="Hyperlink"/>
    <w:basedOn w:val="DefaultParagraphFont"/>
    <w:uiPriority w:val="99"/>
    <w:semiHidden/>
    <w:rsid w:val="00497443"/>
    <w:rPr>
      <w:rFonts w:cs="Times New Roman"/>
      <w:color w:val="0000FF"/>
      <w:u w:val="single"/>
    </w:rPr>
  </w:style>
  <w:style w:type="character" w:customStyle="1" w:styleId="apple-converted-space">
    <w:name w:val="apple-converted-space"/>
    <w:basedOn w:val="DefaultParagraphFont"/>
    <w:uiPriority w:val="99"/>
    <w:rsid w:val="00497443"/>
    <w:rPr>
      <w:rFonts w:cs="Times New Roman"/>
    </w:rPr>
  </w:style>
  <w:style w:type="paragraph" w:customStyle="1" w:styleId="sentcenter">
    <w:name w:val="sent_center"/>
    <w:basedOn w:val="Normal"/>
    <w:uiPriority w:val="99"/>
    <w:rsid w:val="00497443"/>
    <w:pPr>
      <w:spacing w:before="100" w:beforeAutospacing="1" w:after="100" w:afterAutospacing="1" w:line="240" w:lineRule="auto"/>
    </w:pPr>
    <w:rPr>
      <w:rFonts w:ascii="Times New Roman" w:hAnsi="Times New Roman"/>
      <w:sz w:val="24"/>
      <w:szCs w:val="24"/>
    </w:rPr>
  </w:style>
  <w:style w:type="paragraph" w:customStyle="1" w:styleId="sentnormal">
    <w:name w:val="sent_normal"/>
    <w:basedOn w:val="Normal"/>
    <w:uiPriority w:val="99"/>
    <w:rsid w:val="00497443"/>
    <w:pPr>
      <w:spacing w:before="100" w:beforeAutospacing="1" w:after="100" w:afterAutospacing="1" w:line="240" w:lineRule="auto"/>
    </w:pPr>
    <w:rPr>
      <w:rFonts w:ascii="Times New Roman" w:hAnsi="Times New Roman"/>
      <w:sz w:val="24"/>
      <w:szCs w:val="24"/>
    </w:rPr>
  </w:style>
  <w:style w:type="character" w:customStyle="1" w:styleId="massgeclassl1">
    <w:name w:val="massge_class_l1"/>
    <w:basedOn w:val="DefaultParagraphFont"/>
    <w:uiPriority w:val="99"/>
    <w:rsid w:val="0088674C"/>
    <w:rPr>
      <w:rFonts w:cs="Times New Roman"/>
    </w:rPr>
  </w:style>
  <w:style w:type="character" w:customStyle="1" w:styleId="massgeclassl2">
    <w:name w:val="massge_class_l2"/>
    <w:basedOn w:val="DefaultParagraphFont"/>
    <w:uiPriority w:val="99"/>
    <w:rsid w:val="0088674C"/>
    <w:rPr>
      <w:rFonts w:cs="Times New Roman"/>
    </w:rPr>
  </w:style>
  <w:style w:type="paragraph" w:styleId="NormalWeb">
    <w:name w:val="Normal (Web)"/>
    <w:basedOn w:val="Normal"/>
    <w:uiPriority w:val="99"/>
    <w:semiHidden/>
    <w:rsid w:val="0088674C"/>
    <w:pPr>
      <w:spacing w:before="100" w:beforeAutospacing="1" w:after="100" w:afterAutospacing="1" w:line="240" w:lineRule="auto"/>
    </w:pPr>
    <w:rPr>
      <w:rFonts w:ascii="Times New Roman" w:hAnsi="Times New Roman"/>
      <w:sz w:val="24"/>
      <w:szCs w:val="24"/>
    </w:rPr>
  </w:style>
  <w:style w:type="character" w:customStyle="1" w:styleId="massgetitolo">
    <w:name w:val="massge_titolo"/>
    <w:basedOn w:val="DefaultParagraphFont"/>
    <w:uiPriority w:val="99"/>
    <w:rsid w:val="0088674C"/>
    <w:rPr>
      <w:rFonts w:cs="Times New Roman"/>
    </w:rPr>
  </w:style>
</w:styles>
</file>

<file path=word/webSettings.xml><?xml version="1.0" encoding="utf-8"?>
<w:webSettings xmlns:r="http://schemas.openxmlformats.org/officeDocument/2006/relationships" xmlns:w="http://schemas.openxmlformats.org/wordprocessingml/2006/main">
  <w:divs>
    <w:div w:id="1656184043">
      <w:marLeft w:val="0"/>
      <w:marRight w:val="0"/>
      <w:marTop w:val="0"/>
      <w:marBottom w:val="0"/>
      <w:divBdr>
        <w:top w:val="none" w:sz="0" w:space="0" w:color="auto"/>
        <w:left w:val="none" w:sz="0" w:space="0" w:color="auto"/>
        <w:bottom w:val="none" w:sz="0" w:space="0" w:color="auto"/>
        <w:right w:val="none" w:sz="0" w:space="0" w:color="auto"/>
      </w:divBdr>
      <w:divsChild>
        <w:div w:id="1656184042">
          <w:marLeft w:val="0"/>
          <w:marRight w:val="0"/>
          <w:marTop w:val="0"/>
          <w:marBottom w:val="0"/>
          <w:divBdr>
            <w:top w:val="none" w:sz="0" w:space="0" w:color="auto"/>
            <w:left w:val="none" w:sz="0" w:space="0" w:color="auto"/>
            <w:bottom w:val="none" w:sz="0" w:space="0" w:color="auto"/>
            <w:right w:val="none" w:sz="0" w:space="0" w:color="auto"/>
          </w:divBdr>
          <w:divsChild>
            <w:div w:id="1656184055">
              <w:marLeft w:val="0"/>
              <w:marRight w:val="0"/>
              <w:marTop w:val="0"/>
              <w:marBottom w:val="0"/>
              <w:divBdr>
                <w:top w:val="none" w:sz="0" w:space="0" w:color="auto"/>
                <w:left w:val="none" w:sz="0" w:space="0" w:color="auto"/>
                <w:bottom w:val="none" w:sz="0" w:space="0" w:color="auto"/>
                <w:right w:val="none" w:sz="0" w:space="0" w:color="auto"/>
              </w:divBdr>
            </w:div>
          </w:divsChild>
        </w:div>
        <w:div w:id="1656184054">
          <w:marLeft w:val="0"/>
          <w:marRight w:val="0"/>
          <w:marTop w:val="0"/>
          <w:marBottom w:val="0"/>
          <w:divBdr>
            <w:top w:val="none" w:sz="0" w:space="0" w:color="auto"/>
            <w:left w:val="none" w:sz="0" w:space="0" w:color="auto"/>
            <w:bottom w:val="none" w:sz="0" w:space="0" w:color="auto"/>
            <w:right w:val="none" w:sz="0" w:space="0" w:color="auto"/>
          </w:divBdr>
        </w:div>
        <w:div w:id="1656184056">
          <w:marLeft w:val="0"/>
          <w:marRight w:val="0"/>
          <w:marTop w:val="0"/>
          <w:marBottom w:val="200"/>
          <w:divBdr>
            <w:top w:val="none" w:sz="0" w:space="0" w:color="auto"/>
            <w:left w:val="none" w:sz="0" w:space="0" w:color="auto"/>
            <w:bottom w:val="none" w:sz="0" w:space="0" w:color="auto"/>
            <w:right w:val="none" w:sz="0" w:space="0" w:color="auto"/>
          </w:divBdr>
        </w:div>
      </w:divsChild>
    </w:div>
    <w:div w:id="1656184048">
      <w:marLeft w:val="0"/>
      <w:marRight w:val="0"/>
      <w:marTop w:val="0"/>
      <w:marBottom w:val="0"/>
      <w:divBdr>
        <w:top w:val="none" w:sz="0" w:space="0" w:color="auto"/>
        <w:left w:val="none" w:sz="0" w:space="0" w:color="auto"/>
        <w:bottom w:val="none" w:sz="0" w:space="0" w:color="auto"/>
        <w:right w:val="none" w:sz="0" w:space="0" w:color="auto"/>
      </w:divBdr>
      <w:divsChild>
        <w:div w:id="1656184046">
          <w:marLeft w:val="0"/>
          <w:marRight w:val="0"/>
          <w:marTop w:val="0"/>
          <w:marBottom w:val="200"/>
          <w:divBdr>
            <w:top w:val="none" w:sz="0" w:space="0" w:color="auto"/>
            <w:left w:val="none" w:sz="0" w:space="0" w:color="auto"/>
            <w:bottom w:val="none" w:sz="0" w:space="0" w:color="auto"/>
            <w:right w:val="none" w:sz="0" w:space="0" w:color="auto"/>
          </w:divBdr>
        </w:div>
        <w:div w:id="1656184047">
          <w:marLeft w:val="0"/>
          <w:marRight w:val="0"/>
          <w:marTop w:val="0"/>
          <w:marBottom w:val="20"/>
          <w:divBdr>
            <w:top w:val="none" w:sz="0" w:space="0" w:color="auto"/>
            <w:left w:val="none" w:sz="0" w:space="0" w:color="auto"/>
            <w:bottom w:val="none" w:sz="0" w:space="0" w:color="auto"/>
            <w:right w:val="none" w:sz="0" w:space="0" w:color="auto"/>
          </w:divBdr>
          <w:divsChild>
            <w:div w:id="1656184045">
              <w:marLeft w:val="0"/>
              <w:marRight w:val="0"/>
              <w:marTop w:val="0"/>
              <w:marBottom w:val="20"/>
              <w:divBdr>
                <w:top w:val="none" w:sz="0" w:space="0" w:color="auto"/>
                <w:left w:val="none" w:sz="0" w:space="0" w:color="auto"/>
                <w:bottom w:val="none" w:sz="0" w:space="0" w:color="auto"/>
                <w:right w:val="none" w:sz="0" w:space="0" w:color="auto"/>
              </w:divBdr>
            </w:div>
          </w:divsChild>
        </w:div>
        <w:div w:id="1656184051">
          <w:marLeft w:val="0"/>
          <w:marRight w:val="0"/>
          <w:marTop w:val="0"/>
          <w:marBottom w:val="20"/>
          <w:divBdr>
            <w:top w:val="none" w:sz="0" w:space="0" w:color="auto"/>
            <w:left w:val="none" w:sz="0" w:space="0" w:color="auto"/>
            <w:bottom w:val="none" w:sz="0" w:space="0" w:color="auto"/>
            <w:right w:val="none" w:sz="0" w:space="0" w:color="auto"/>
          </w:divBdr>
        </w:div>
        <w:div w:id="1656184053">
          <w:marLeft w:val="0"/>
          <w:marRight w:val="0"/>
          <w:marTop w:val="0"/>
          <w:marBottom w:val="20"/>
          <w:divBdr>
            <w:top w:val="none" w:sz="0" w:space="0" w:color="auto"/>
            <w:left w:val="none" w:sz="0" w:space="0" w:color="auto"/>
            <w:bottom w:val="none" w:sz="0" w:space="0" w:color="auto"/>
            <w:right w:val="none" w:sz="0" w:space="0" w:color="auto"/>
          </w:divBdr>
        </w:div>
      </w:divsChild>
    </w:div>
    <w:div w:id="1656184049">
      <w:marLeft w:val="0"/>
      <w:marRight w:val="0"/>
      <w:marTop w:val="0"/>
      <w:marBottom w:val="0"/>
      <w:divBdr>
        <w:top w:val="none" w:sz="0" w:space="0" w:color="auto"/>
        <w:left w:val="none" w:sz="0" w:space="0" w:color="auto"/>
        <w:bottom w:val="none" w:sz="0" w:space="0" w:color="auto"/>
        <w:right w:val="none" w:sz="0" w:space="0" w:color="auto"/>
      </w:divBdr>
      <w:divsChild>
        <w:div w:id="1656184044">
          <w:marLeft w:val="0"/>
          <w:marRight w:val="0"/>
          <w:marTop w:val="0"/>
          <w:marBottom w:val="0"/>
          <w:divBdr>
            <w:top w:val="none" w:sz="0" w:space="0" w:color="auto"/>
            <w:left w:val="none" w:sz="0" w:space="0" w:color="auto"/>
            <w:bottom w:val="none" w:sz="0" w:space="0" w:color="auto"/>
            <w:right w:val="none" w:sz="0" w:space="0" w:color="auto"/>
          </w:divBdr>
          <w:divsChild>
            <w:div w:id="1656184052">
              <w:marLeft w:val="0"/>
              <w:marRight w:val="0"/>
              <w:marTop w:val="0"/>
              <w:marBottom w:val="0"/>
              <w:divBdr>
                <w:top w:val="none" w:sz="0" w:space="0" w:color="auto"/>
                <w:left w:val="none" w:sz="0" w:space="0" w:color="auto"/>
                <w:bottom w:val="none" w:sz="0" w:space="0" w:color="auto"/>
                <w:right w:val="none" w:sz="0" w:space="0" w:color="auto"/>
              </w:divBdr>
            </w:div>
          </w:divsChild>
        </w:div>
        <w:div w:id="1656184050">
          <w:marLeft w:val="0"/>
          <w:marRight w:val="0"/>
          <w:marTop w:val="0"/>
          <w:marBottom w:val="200"/>
          <w:divBdr>
            <w:top w:val="none" w:sz="0" w:space="0" w:color="auto"/>
            <w:left w:val="none" w:sz="0" w:space="0" w:color="auto"/>
            <w:bottom w:val="none" w:sz="0" w:space="0" w:color="auto"/>
            <w:right w:val="none" w:sz="0" w:space="0" w:color="auto"/>
          </w:divBdr>
        </w:div>
        <w:div w:id="1656184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diolegale.leggiditalia.it/" TargetMode="Externa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tudiolegale.leggiditalia.it/" TargetMode="Externa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settings" Target="settings.xml"/><Relationship Id="rId16" Type="http://schemas.openxmlformats.org/officeDocument/2006/relationships/hyperlink" Target="http://studiolegale.leggiditalia.i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udiolegale.leggiditalia.it/" TargetMode="External"/><Relationship Id="rId11" Type="http://schemas.openxmlformats.org/officeDocument/2006/relationships/hyperlink" Target="http://studiolegale.leggiditalia.it/" TargetMode="External"/><Relationship Id="rId5" Type="http://schemas.openxmlformats.org/officeDocument/2006/relationships/hyperlink" Target="http://studiolegale.leggiditalia.it/" TargetMode="External"/><Relationship Id="rId15" Type="http://schemas.openxmlformats.org/officeDocument/2006/relationships/hyperlink" Target="http://studiolegale.leggiditalia.it/" TargetMode="External"/><Relationship Id="rId10" Type="http://schemas.openxmlformats.org/officeDocument/2006/relationships/hyperlink" Target="http://studiolegale.leggiditalia.it/" TargetMode="External"/><Relationship Id="rId19" Type="http://schemas.openxmlformats.org/officeDocument/2006/relationships/hyperlink" Target="http://studiolegale.leggiditalia.it/" TargetMode="External"/><Relationship Id="rId4" Type="http://schemas.openxmlformats.org/officeDocument/2006/relationships/hyperlink" Target="http://studiolegale.leggiditalia.it/" TargetMode="Externa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6</Pages>
  <Words>1775</Words>
  <Characters>10119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Cass</dc:title>
  <dc:subject/>
  <dc:creator>notaio.pgo</dc:creator>
  <cp:keywords/>
  <dc:description/>
  <cp:lastModifiedBy>Notaio Riccardo Ricciardi</cp:lastModifiedBy>
  <cp:revision>2</cp:revision>
  <dcterms:created xsi:type="dcterms:W3CDTF">2017-02-10T17:09:00Z</dcterms:created>
  <dcterms:modified xsi:type="dcterms:W3CDTF">2017-02-10T17:09:00Z</dcterms:modified>
</cp:coreProperties>
</file>