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FC2" w:rsidRPr="00211FB6" w:rsidRDefault="00254FC2" w:rsidP="00254FC2">
      <w:pPr>
        <w:widowControl w:val="0"/>
        <w:tabs>
          <w:tab w:val="left" w:pos="1418"/>
        </w:tabs>
        <w:spacing w:line="276" w:lineRule="auto"/>
        <w:ind w:firstLine="0"/>
        <w:rPr>
          <w:rFonts w:ascii="Calibri" w:hAnsi="Calibri"/>
          <w:b/>
          <w:color w:val="002060"/>
          <w:sz w:val="24"/>
          <w:szCs w:val="20"/>
        </w:rPr>
      </w:pPr>
      <w:bookmarkStart w:id="0" w:name="Quesito"/>
      <w:r w:rsidRPr="00211FB6">
        <w:rPr>
          <w:rFonts w:ascii="Calibri" w:hAnsi="Calibri"/>
          <w:b/>
          <w:color w:val="002060"/>
          <w:sz w:val="24"/>
          <w:szCs w:val="20"/>
        </w:rPr>
        <w:t xml:space="preserve">Quesito </w:t>
      </w:r>
      <w:bookmarkEnd w:id="0"/>
      <w:r w:rsidRPr="00211FB6">
        <w:rPr>
          <w:rFonts w:ascii="Calibri" w:hAnsi="Calibri"/>
          <w:b/>
          <w:color w:val="002060"/>
          <w:sz w:val="24"/>
          <w:szCs w:val="20"/>
        </w:rPr>
        <w:t>Civilistico n. 1002-2013/C</w:t>
      </w:r>
    </w:p>
    <w:p w:rsidR="00254FC2" w:rsidRPr="00211FB6" w:rsidRDefault="00254FC2" w:rsidP="00254FC2">
      <w:pPr>
        <w:widowControl w:val="0"/>
        <w:spacing w:before="20" w:after="20" w:line="276" w:lineRule="auto"/>
        <w:rPr>
          <w:rFonts w:ascii="Calibri" w:hAnsi="Calibri"/>
          <w:color w:val="002060"/>
          <w:sz w:val="24"/>
          <w:szCs w:val="20"/>
        </w:rPr>
      </w:pPr>
    </w:p>
    <w:p w:rsidR="00254FC2" w:rsidRPr="00211FB6" w:rsidRDefault="00254FC2" w:rsidP="00254FC2">
      <w:pPr>
        <w:widowControl w:val="0"/>
        <w:spacing w:before="20" w:after="20" w:line="276" w:lineRule="auto"/>
        <w:rPr>
          <w:rFonts w:ascii="Calibri" w:hAnsi="Calibri"/>
          <w:color w:val="002060"/>
          <w:sz w:val="24"/>
          <w:szCs w:val="20"/>
        </w:rPr>
      </w:pPr>
    </w:p>
    <w:p w:rsidR="00254FC2" w:rsidRPr="00211FB6" w:rsidRDefault="00254FC2" w:rsidP="00254FC2">
      <w:pPr>
        <w:widowControl w:val="0"/>
        <w:spacing w:line="276" w:lineRule="auto"/>
        <w:ind w:firstLine="0"/>
        <w:rPr>
          <w:rFonts w:ascii="Calibri" w:hAnsi="Calibri"/>
          <w:b/>
          <w:color w:val="002060"/>
          <w:sz w:val="28"/>
          <w:szCs w:val="20"/>
        </w:rPr>
      </w:pPr>
      <w:r w:rsidRPr="00211FB6">
        <w:rPr>
          <w:rFonts w:ascii="Calibri" w:hAnsi="Calibri"/>
          <w:b/>
          <w:color w:val="002060"/>
          <w:sz w:val="28"/>
          <w:szCs w:val="20"/>
        </w:rPr>
        <w:t>TRASMISSIONE DELLA DELAZIONE, RAPPRESENTAZIONE E ACCRESCIMENTO</w:t>
      </w:r>
    </w:p>
    <w:p w:rsidR="00254FC2" w:rsidRPr="00211FB6" w:rsidRDefault="00254FC2" w:rsidP="00254FC2">
      <w:pPr>
        <w:spacing w:line="276" w:lineRule="auto"/>
        <w:rPr>
          <w:rFonts w:ascii="Calibri" w:hAnsi="Calibri" w:cs="Calibri"/>
          <w:color w:val="002060"/>
          <w:sz w:val="24"/>
          <w:szCs w:val="24"/>
        </w:rPr>
      </w:pPr>
    </w:p>
    <w:p w:rsidR="00254FC2" w:rsidRPr="00211FB6" w:rsidRDefault="00254FC2" w:rsidP="00254FC2">
      <w:pPr>
        <w:spacing w:line="276" w:lineRule="auto"/>
        <w:rPr>
          <w:rFonts w:ascii="Calibri" w:hAnsi="Calibri" w:cs="Calibri"/>
          <w:color w:val="002060"/>
          <w:sz w:val="24"/>
          <w:szCs w:val="24"/>
        </w:rPr>
      </w:pP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Si espone la seguente fattispecie: “Tizio celibe e senza figli muore </w:t>
      </w:r>
      <w:r w:rsidRPr="00211FB6">
        <w:rPr>
          <w:rFonts w:ascii="Calibri" w:hAnsi="Calibri" w:cs="Calibri"/>
          <w:i/>
          <w:color w:val="002060"/>
          <w:sz w:val="24"/>
          <w:szCs w:val="24"/>
        </w:rPr>
        <w:t>ab intestato</w:t>
      </w:r>
      <w:r w:rsidRPr="00211FB6">
        <w:rPr>
          <w:rFonts w:ascii="Calibri" w:hAnsi="Calibri" w:cs="Calibri"/>
          <w:color w:val="002060"/>
          <w:sz w:val="24"/>
          <w:szCs w:val="24"/>
        </w:rPr>
        <w:t xml:space="preserve"> lasciando eredi tre fratelli germani: Caio, Sempronia e Mevio. Successivamente muore la sorella Sempronia senza aver accettato l’eredità né rinunziato alla medesima, lasciando quale unica erede legittima la propria figlia Filana. Filana, trasmissaria della delazione, intende rinunciare all’eredità di Tizio. La medesima Filana ha una figlia maggiorenne, Filetta”.</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Si chiede, al riguardo, qualora la trasmissaria Filana rinunzi all’eredità del </w:t>
      </w:r>
      <w:r w:rsidRPr="00211FB6">
        <w:rPr>
          <w:rFonts w:ascii="Calibri" w:hAnsi="Calibri" w:cs="Calibri"/>
          <w:i/>
          <w:color w:val="002060"/>
          <w:sz w:val="24"/>
          <w:szCs w:val="24"/>
        </w:rPr>
        <w:t>de cuius</w:t>
      </w:r>
      <w:r w:rsidRPr="00211FB6">
        <w:rPr>
          <w:rFonts w:ascii="Calibri" w:hAnsi="Calibri" w:cs="Calibri"/>
          <w:color w:val="002060"/>
          <w:sz w:val="24"/>
          <w:szCs w:val="24"/>
        </w:rPr>
        <w:t xml:space="preserve"> Tizio, se nel diritto di accettare subentri Filetta per rappresentazione ovvero si verifichi l’accrescimento a favore degli altri chiamati alla successione di Tizio.</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Come noto, la trasmissione della delazione, disciplinata dall’art. 479 c.c., produce quale effetto l’investitura in capo al trasmissario dell’intera posizione giuridica che faceva capo al trasmittente. Il trasmissario, in altri termini, risulta essere destinatario di due distinte delazioni (nei confronti dell’eredità del trasmittente e dell’originario </w:t>
      </w:r>
      <w:r w:rsidRPr="00211FB6">
        <w:rPr>
          <w:rFonts w:ascii="Calibri" w:hAnsi="Calibri" w:cs="Calibri"/>
          <w:i/>
          <w:color w:val="002060"/>
          <w:sz w:val="24"/>
          <w:szCs w:val="24"/>
        </w:rPr>
        <w:t>de cuius</w:t>
      </w:r>
      <w:r w:rsidRPr="00211FB6">
        <w:rPr>
          <w:rFonts w:ascii="Calibri" w:hAnsi="Calibri" w:cs="Calibri"/>
          <w:color w:val="002060"/>
          <w:sz w:val="24"/>
          <w:szCs w:val="24"/>
        </w:rPr>
        <w:t>) e titolare di due diversi diritti di accettare l’eredità.</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Con riferimento alla rinunzia alla eredità, in dottrina</w:t>
      </w:r>
      <w:r w:rsidRPr="00211FB6">
        <w:rPr>
          <w:rFonts w:ascii="Calibri" w:hAnsi="Calibri" w:cs="Calibri"/>
          <w:b/>
          <w:color w:val="002060"/>
          <w:sz w:val="24"/>
          <w:szCs w:val="24"/>
          <w:vertAlign w:val="superscript"/>
        </w:rPr>
        <w:t xml:space="preserve"> (1)</w:t>
      </w:r>
      <w:r w:rsidRPr="00211FB6">
        <w:rPr>
          <w:rFonts w:ascii="Calibri" w:hAnsi="Calibri" w:cs="Calibri"/>
          <w:color w:val="002060"/>
          <w:sz w:val="24"/>
          <w:szCs w:val="24"/>
        </w:rPr>
        <w:t xml:space="preserve"> sono state evidenziate due possibilità.</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Il trasmissario potrebbe, anzitutto, rinunziare all’eredità del trasmittente. In tal caso egli perde anche il diritto di accettare l’eredità dell’originario </w:t>
      </w:r>
      <w:r w:rsidRPr="00211FB6">
        <w:rPr>
          <w:rFonts w:ascii="Calibri" w:hAnsi="Calibri" w:cs="Calibri"/>
          <w:i/>
          <w:color w:val="002060"/>
          <w:sz w:val="24"/>
          <w:szCs w:val="24"/>
        </w:rPr>
        <w:t>de cuius</w:t>
      </w:r>
      <w:r w:rsidRPr="00211FB6">
        <w:rPr>
          <w:rFonts w:ascii="Calibri" w:hAnsi="Calibri" w:cs="Calibri"/>
          <w:color w:val="002060"/>
          <w:sz w:val="24"/>
          <w:szCs w:val="24"/>
        </w:rPr>
        <w:t>, essendo tale diritto ricompreso nell’eredità del trasmittente.</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Il trasmissario, inoltre, potrebbe rinunziare all’eredità dell’originario </w:t>
      </w:r>
      <w:r w:rsidRPr="00211FB6">
        <w:rPr>
          <w:rFonts w:ascii="Calibri" w:hAnsi="Calibri" w:cs="Calibri"/>
          <w:i/>
          <w:color w:val="002060"/>
          <w:sz w:val="24"/>
          <w:szCs w:val="24"/>
        </w:rPr>
        <w:t>de cuius</w:t>
      </w:r>
      <w:r w:rsidRPr="00211FB6">
        <w:rPr>
          <w:rFonts w:ascii="Calibri" w:hAnsi="Calibri" w:cs="Calibri"/>
          <w:color w:val="002060"/>
          <w:sz w:val="24"/>
          <w:szCs w:val="24"/>
        </w:rPr>
        <w:t>. In questo caso si determinerebbe l’accettazione tacita dell’eredità del trasmittente, esercitando il trasmissario un diritto ricompreso nell’eredità del primo.</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In quest’ultima ipotesi, tuttavia, si pone il dubbio se l’eredità rinunciata vada ai rappresentanti del trasmissario ovvero agli altri successibili dell’originario </w:t>
      </w:r>
      <w:r w:rsidRPr="00211FB6">
        <w:rPr>
          <w:rFonts w:ascii="Calibri" w:hAnsi="Calibri" w:cs="Calibri"/>
          <w:i/>
          <w:color w:val="002060"/>
          <w:sz w:val="24"/>
          <w:szCs w:val="24"/>
        </w:rPr>
        <w:t>de cuius</w:t>
      </w:r>
      <w:r w:rsidRPr="00211FB6">
        <w:rPr>
          <w:rFonts w:ascii="Calibri" w:hAnsi="Calibri" w:cs="Calibri"/>
          <w:b/>
          <w:color w:val="002060"/>
          <w:sz w:val="24"/>
          <w:szCs w:val="24"/>
          <w:vertAlign w:val="superscript"/>
        </w:rPr>
        <w:t xml:space="preserve"> (2)</w:t>
      </w:r>
      <w:r w:rsidRPr="00211FB6">
        <w:rPr>
          <w:rFonts w:ascii="Calibri" w:hAnsi="Calibri" w:cs="Calibri"/>
          <w:color w:val="002060"/>
          <w:sz w:val="24"/>
          <w:szCs w:val="24"/>
        </w:rPr>
        <w:t>.</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In favore dell’operare della rappresentazione potrebbe invocarsi la natura della trasmissione della delazione. Questa, infatti, fa subentrare il trasmissario nella medesima posizione del trasmittente. La delazione resta la medesima, pur mutandone il destinatario</w:t>
      </w:r>
      <w:r w:rsidRPr="00211FB6">
        <w:rPr>
          <w:rFonts w:ascii="Calibri" w:hAnsi="Calibri" w:cs="Calibri"/>
          <w:b/>
          <w:color w:val="002060"/>
          <w:sz w:val="24"/>
          <w:szCs w:val="24"/>
          <w:vertAlign w:val="superscript"/>
        </w:rPr>
        <w:t xml:space="preserve"> (3)</w:t>
      </w:r>
      <w:r w:rsidRPr="00211FB6">
        <w:rPr>
          <w:rFonts w:ascii="Calibri" w:hAnsi="Calibri" w:cs="Calibri"/>
          <w:color w:val="002060"/>
          <w:sz w:val="24"/>
          <w:szCs w:val="24"/>
        </w:rPr>
        <w:t xml:space="preserve">. In caso di rinunzia del trasmissario all’eredità del primo </w:t>
      </w:r>
      <w:r w:rsidRPr="00211FB6">
        <w:rPr>
          <w:rFonts w:ascii="Calibri" w:hAnsi="Calibri" w:cs="Calibri"/>
          <w:i/>
          <w:color w:val="002060"/>
          <w:sz w:val="24"/>
          <w:szCs w:val="24"/>
        </w:rPr>
        <w:t>de cuius</w:t>
      </w:r>
      <w:r w:rsidRPr="00211FB6">
        <w:rPr>
          <w:rFonts w:ascii="Calibri" w:hAnsi="Calibri" w:cs="Calibri"/>
          <w:color w:val="002060"/>
          <w:sz w:val="24"/>
          <w:szCs w:val="24"/>
        </w:rPr>
        <w:t>, dunque, potrebbe operare il meccanismo della rappresentazione, laddove ne ricorrano i presupposti</w:t>
      </w:r>
      <w:r w:rsidRPr="00211FB6">
        <w:rPr>
          <w:rFonts w:ascii="Calibri" w:hAnsi="Calibri" w:cs="Calibri"/>
          <w:b/>
          <w:color w:val="002060"/>
          <w:sz w:val="24"/>
          <w:szCs w:val="24"/>
          <w:vertAlign w:val="superscript"/>
        </w:rPr>
        <w:t xml:space="preserve"> (4)</w:t>
      </w:r>
      <w:r w:rsidRPr="00211FB6">
        <w:rPr>
          <w:rFonts w:ascii="Calibri" w:hAnsi="Calibri" w:cs="Calibri"/>
          <w:color w:val="002060"/>
          <w:sz w:val="24"/>
          <w:szCs w:val="24"/>
        </w:rPr>
        <w:t>.</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In particolare, nel caso in esame, poiché il trasmittente (Sempronia) è un fratello del </w:t>
      </w:r>
      <w:r w:rsidRPr="00211FB6">
        <w:rPr>
          <w:rFonts w:ascii="Calibri" w:hAnsi="Calibri" w:cs="Calibri"/>
          <w:i/>
          <w:color w:val="002060"/>
          <w:sz w:val="24"/>
          <w:szCs w:val="24"/>
        </w:rPr>
        <w:t>de cuius</w:t>
      </w:r>
      <w:r w:rsidRPr="00211FB6">
        <w:rPr>
          <w:rFonts w:ascii="Calibri" w:hAnsi="Calibri" w:cs="Calibri"/>
          <w:color w:val="002060"/>
          <w:sz w:val="24"/>
          <w:szCs w:val="24"/>
        </w:rPr>
        <w:t>, trasmissario (Filana) è un figlio del trasmittente e vi è un figlio del trasmissario (Filetta), potrebbe sostenersi, accedendo a questa tesi, che la quota del rinunziante (Filana) vada al discendente (Filetta) per rappresentazione.</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 xml:space="preserve">Diversamente, in favore dell’accrescimento in favore degli altri chiamati dell’originario </w:t>
      </w:r>
      <w:r w:rsidRPr="00211FB6">
        <w:rPr>
          <w:rFonts w:ascii="Calibri" w:hAnsi="Calibri" w:cs="Calibri"/>
          <w:i/>
          <w:color w:val="002060"/>
          <w:sz w:val="24"/>
          <w:szCs w:val="24"/>
        </w:rPr>
        <w:t>de cuius</w:t>
      </w:r>
      <w:r w:rsidRPr="00211FB6">
        <w:rPr>
          <w:rFonts w:ascii="Calibri" w:hAnsi="Calibri" w:cs="Calibri"/>
          <w:color w:val="002060"/>
          <w:sz w:val="24"/>
          <w:szCs w:val="24"/>
        </w:rPr>
        <w:t xml:space="preserve"> potrebbe richiamarsi l’eccezionalità dell’istituto della rappresentazione, che non può essere esteso a fattispecie diverse da quella prevista. Tale argomento, confortato dalla relazione al progetto definitivo del codice, è stato in particolare utilizzato da parte di dottrina e giurisprudenza in relazione al problema del nipote </w:t>
      </w:r>
      <w:r w:rsidRPr="00211FB6">
        <w:rPr>
          <w:rFonts w:ascii="Calibri" w:hAnsi="Calibri" w:cs="Calibri"/>
          <w:i/>
          <w:color w:val="002060"/>
          <w:sz w:val="24"/>
          <w:szCs w:val="24"/>
        </w:rPr>
        <w:t>ex fratre</w:t>
      </w:r>
      <w:bookmarkStart w:id="1" w:name="_GoBack"/>
      <w:bookmarkEnd w:id="1"/>
      <w:r w:rsidRPr="00211FB6">
        <w:rPr>
          <w:rFonts w:ascii="Calibri" w:hAnsi="Calibri" w:cs="Calibri"/>
          <w:color w:val="002060"/>
          <w:sz w:val="24"/>
          <w:szCs w:val="24"/>
        </w:rPr>
        <w:t xml:space="preserve"> quale soggetto rappresentato</w:t>
      </w:r>
      <w:r w:rsidRPr="00211FB6">
        <w:rPr>
          <w:rFonts w:ascii="Calibri" w:hAnsi="Calibri" w:cs="Calibri"/>
          <w:b/>
          <w:color w:val="002060"/>
          <w:sz w:val="24"/>
          <w:szCs w:val="24"/>
          <w:vertAlign w:val="superscript"/>
        </w:rPr>
        <w:t xml:space="preserve"> (5)</w:t>
      </w:r>
      <w:r w:rsidRPr="00211FB6">
        <w:rPr>
          <w:rFonts w:ascii="Calibri" w:hAnsi="Calibri" w:cs="Calibri"/>
          <w:color w:val="002060"/>
          <w:sz w:val="24"/>
          <w:szCs w:val="24"/>
        </w:rPr>
        <w:t>.</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lastRenderedPageBreak/>
        <w:t xml:space="preserve">Nel caso in esame, dunque, poiché il rinunziante (Filana) non è né un fratello né un figlio del </w:t>
      </w:r>
      <w:r w:rsidRPr="00211FB6">
        <w:rPr>
          <w:rFonts w:ascii="Calibri" w:hAnsi="Calibri" w:cs="Calibri"/>
          <w:i/>
          <w:color w:val="002060"/>
          <w:sz w:val="24"/>
          <w:szCs w:val="24"/>
        </w:rPr>
        <w:t>de cuius</w:t>
      </w:r>
      <w:r w:rsidRPr="00211FB6">
        <w:rPr>
          <w:rFonts w:ascii="Calibri" w:hAnsi="Calibri" w:cs="Calibri"/>
          <w:color w:val="002060"/>
          <w:sz w:val="24"/>
          <w:szCs w:val="24"/>
        </w:rPr>
        <w:t xml:space="preserve"> non potrebbe operare il meccanismo della rappresentazione (in favore di Filetta). La quota rinunciata dovrebbe dunque accrescersi in favore degli altri chiamati del primo </w:t>
      </w:r>
      <w:r w:rsidRPr="00211FB6">
        <w:rPr>
          <w:rFonts w:ascii="Calibri" w:hAnsi="Calibri" w:cs="Calibri"/>
          <w:i/>
          <w:color w:val="002060"/>
          <w:sz w:val="24"/>
          <w:szCs w:val="24"/>
        </w:rPr>
        <w:t>de cuius</w:t>
      </w:r>
      <w:r w:rsidRPr="00211FB6">
        <w:rPr>
          <w:rFonts w:ascii="Calibri" w:hAnsi="Calibri" w:cs="Calibri"/>
          <w:color w:val="002060"/>
          <w:sz w:val="24"/>
          <w:szCs w:val="24"/>
        </w:rPr>
        <w:t xml:space="preserve"> (Caio e Mevio).</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Si badi, al riguardo, che in favore di quest’ultimo orientamento si è pronunciata una risalente sentenza della Suprema Corte</w:t>
      </w:r>
      <w:r w:rsidRPr="00211FB6">
        <w:rPr>
          <w:rFonts w:ascii="Calibri" w:hAnsi="Calibri" w:cs="Calibri"/>
          <w:b/>
          <w:color w:val="002060"/>
          <w:sz w:val="24"/>
          <w:szCs w:val="24"/>
          <w:vertAlign w:val="superscript"/>
        </w:rPr>
        <w:t xml:space="preserve"> (6)</w:t>
      </w:r>
      <w:r w:rsidRPr="00211FB6">
        <w:rPr>
          <w:rFonts w:ascii="Calibri" w:hAnsi="Calibri" w:cs="Calibri"/>
          <w:color w:val="002060"/>
          <w:sz w:val="24"/>
          <w:szCs w:val="24"/>
        </w:rPr>
        <w:t xml:space="preserve">, secondo la quale «qualora il chiamato a un’eredità muoia senza averla accettata o ripudiata, e i suoi eredi facciano rinuncia, questa ha effetto anche rispetto al diritto del trasmittente (che consisteva nel solo </w:t>
      </w:r>
      <w:r w:rsidRPr="00211FB6">
        <w:rPr>
          <w:rFonts w:ascii="Calibri" w:hAnsi="Calibri" w:cs="Calibri"/>
          <w:i/>
          <w:color w:val="002060"/>
          <w:sz w:val="24"/>
          <w:szCs w:val="24"/>
        </w:rPr>
        <w:t>jus delationis</w:t>
      </w:r>
      <w:r w:rsidRPr="00211FB6">
        <w:rPr>
          <w:rFonts w:ascii="Calibri" w:hAnsi="Calibri" w:cs="Calibri"/>
          <w:color w:val="002060"/>
          <w:sz w:val="24"/>
          <w:szCs w:val="24"/>
        </w:rPr>
        <w:t xml:space="preserve"> e cioè nella facoltà alternativa di accettazione o di rinunzia), e quindi l’eredità così rinunciata va devoluta ai rimanenti successibili dell’originario </w:t>
      </w:r>
      <w:r w:rsidRPr="00211FB6">
        <w:rPr>
          <w:rFonts w:ascii="Calibri" w:hAnsi="Calibri" w:cs="Calibri"/>
          <w:i/>
          <w:color w:val="002060"/>
          <w:sz w:val="24"/>
          <w:szCs w:val="24"/>
        </w:rPr>
        <w:t>de cuius</w:t>
      </w:r>
      <w:r w:rsidRPr="00211FB6">
        <w:rPr>
          <w:rFonts w:ascii="Calibri" w:hAnsi="Calibri" w:cs="Calibri"/>
          <w:color w:val="002060"/>
          <w:sz w:val="24"/>
          <w:szCs w:val="24"/>
        </w:rPr>
        <w:t>, con esclusione dei rinunciatari e del loro trasmittente, che va parimenti ritenuto rinunciatario come colui che, mai avendo accettato, fu titolare del solo diritto di delazione risoltosi nella rinuncia esercitata dai suoi eredi».</w:t>
      </w:r>
    </w:p>
    <w:p w:rsidR="00254FC2" w:rsidRPr="00211FB6" w:rsidRDefault="00254FC2" w:rsidP="00254FC2">
      <w:pPr>
        <w:spacing w:line="276" w:lineRule="auto"/>
        <w:rPr>
          <w:rFonts w:ascii="Calibri" w:hAnsi="Calibri" w:cs="Calibri"/>
          <w:color w:val="002060"/>
          <w:sz w:val="24"/>
          <w:szCs w:val="24"/>
        </w:rPr>
      </w:pPr>
      <w:r w:rsidRPr="00211FB6">
        <w:rPr>
          <w:rFonts w:ascii="Calibri" w:hAnsi="Calibri" w:cs="Calibri"/>
          <w:color w:val="002060"/>
          <w:sz w:val="24"/>
          <w:szCs w:val="24"/>
        </w:rPr>
        <w:t>Ciò detto, in mancanza di orientamenti univoci di dottrina e giurisprudenza sul problema in esame, non può che rimettersi la scelta della tesi preferibile alla prudenza ed alla sensibilità del Notaio.</w:t>
      </w:r>
    </w:p>
    <w:p w:rsidR="00254FC2" w:rsidRPr="00211FB6" w:rsidRDefault="00254FC2" w:rsidP="00254FC2">
      <w:pPr>
        <w:spacing w:line="276" w:lineRule="auto"/>
        <w:rPr>
          <w:rFonts w:ascii="Calibri" w:hAnsi="Calibri" w:cs="Calibri"/>
          <w:color w:val="002060"/>
          <w:sz w:val="24"/>
          <w:szCs w:val="24"/>
        </w:rPr>
      </w:pPr>
    </w:p>
    <w:p w:rsidR="00254FC2" w:rsidRPr="00211FB6" w:rsidRDefault="00254FC2" w:rsidP="00254FC2">
      <w:pPr>
        <w:spacing w:line="276" w:lineRule="auto"/>
        <w:jc w:val="right"/>
        <w:rPr>
          <w:rFonts w:ascii="Calibri" w:hAnsi="Calibri" w:cs="Calibri"/>
          <w:i/>
          <w:color w:val="002060"/>
          <w:sz w:val="24"/>
          <w:szCs w:val="24"/>
        </w:rPr>
      </w:pPr>
      <w:r w:rsidRPr="00211FB6">
        <w:rPr>
          <w:rFonts w:ascii="Calibri" w:hAnsi="Calibri" w:cs="Calibri"/>
          <w:i/>
          <w:color w:val="002060"/>
          <w:sz w:val="24"/>
          <w:szCs w:val="24"/>
        </w:rPr>
        <w:t xml:space="preserve">Marco </w:t>
      </w:r>
      <w:proofErr w:type="spellStart"/>
      <w:r w:rsidRPr="00211FB6">
        <w:rPr>
          <w:rFonts w:ascii="Calibri" w:hAnsi="Calibri" w:cs="Calibri"/>
          <w:i/>
          <w:color w:val="002060"/>
          <w:sz w:val="24"/>
          <w:szCs w:val="24"/>
        </w:rPr>
        <w:t>Bellinvia</w:t>
      </w:r>
      <w:proofErr w:type="spellEnd"/>
    </w:p>
    <w:p w:rsidR="00254FC2" w:rsidRPr="00211FB6" w:rsidRDefault="00254FC2" w:rsidP="00254FC2">
      <w:pPr>
        <w:spacing w:line="276" w:lineRule="auto"/>
        <w:jc w:val="left"/>
        <w:rPr>
          <w:rFonts w:ascii="Calibri" w:hAnsi="Calibri" w:cs="Calibri"/>
          <w:i/>
          <w:color w:val="002060"/>
          <w:sz w:val="24"/>
          <w:szCs w:val="24"/>
        </w:rPr>
      </w:pPr>
      <w:r w:rsidRPr="00211FB6">
        <w:rPr>
          <w:rFonts w:ascii="Calibri" w:hAnsi="Calibri" w:cs="Calibri"/>
          <w:i/>
          <w:color w:val="002060"/>
          <w:sz w:val="24"/>
          <w:szCs w:val="24"/>
        </w:rPr>
        <w:t>__________________________</w:t>
      </w:r>
    </w:p>
    <w:p w:rsidR="00254FC2" w:rsidRPr="00211FB6" w:rsidRDefault="00254FC2" w:rsidP="00254FC2">
      <w:pPr>
        <w:numPr>
          <w:ilvl w:val="0"/>
          <w:numId w:val="5"/>
        </w:numPr>
        <w:spacing w:line="240" w:lineRule="auto"/>
        <w:ind w:left="567" w:hanging="283"/>
        <w:rPr>
          <w:rFonts w:ascii="Calibri" w:hAnsi="Calibri" w:cs="Calibri"/>
          <w:color w:val="002060"/>
          <w:sz w:val="18"/>
          <w:szCs w:val="18"/>
        </w:rPr>
      </w:pPr>
      <w:proofErr w:type="spellStart"/>
      <w:r w:rsidRPr="00211FB6">
        <w:rPr>
          <w:rFonts w:ascii="Calibri" w:hAnsi="Calibri" w:cs="Calibri"/>
          <w:color w:val="002060"/>
          <w:sz w:val="18"/>
          <w:szCs w:val="18"/>
        </w:rPr>
        <w:t>C</w:t>
      </w:r>
      <w:r w:rsidRPr="00211FB6">
        <w:rPr>
          <w:rFonts w:ascii="Calibri" w:hAnsi="Calibri" w:cs="Calibri"/>
          <w:smallCaps/>
          <w:color w:val="002060"/>
          <w:sz w:val="18"/>
          <w:szCs w:val="18"/>
        </w:rPr>
        <w:t>apozzi</w:t>
      </w:r>
      <w:proofErr w:type="spellEnd"/>
      <w:r w:rsidRPr="00211FB6">
        <w:rPr>
          <w:rFonts w:ascii="Calibri" w:hAnsi="Calibri" w:cs="Calibri"/>
          <w:smallCaps/>
          <w:color w:val="002060"/>
          <w:sz w:val="18"/>
          <w:szCs w:val="18"/>
        </w:rPr>
        <w:t xml:space="preserve">, </w:t>
      </w:r>
      <w:r w:rsidRPr="00211FB6">
        <w:rPr>
          <w:rFonts w:ascii="Calibri" w:hAnsi="Calibri" w:cs="Calibri"/>
          <w:i/>
          <w:color w:val="002060"/>
          <w:sz w:val="18"/>
          <w:szCs w:val="18"/>
        </w:rPr>
        <w:t>Successioni e donazioni</w:t>
      </w:r>
      <w:r w:rsidRPr="00211FB6">
        <w:rPr>
          <w:rFonts w:ascii="Calibri" w:hAnsi="Calibri" w:cs="Calibri"/>
          <w:color w:val="002060"/>
          <w:sz w:val="18"/>
          <w:szCs w:val="18"/>
        </w:rPr>
        <w:t>, Milano, 2009, 111.</w:t>
      </w:r>
    </w:p>
    <w:p w:rsidR="00254FC2" w:rsidRPr="00211FB6" w:rsidRDefault="00254FC2" w:rsidP="00254FC2">
      <w:pPr>
        <w:numPr>
          <w:ilvl w:val="0"/>
          <w:numId w:val="5"/>
        </w:numPr>
        <w:spacing w:line="240" w:lineRule="auto"/>
        <w:ind w:left="567" w:hanging="283"/>
        <w:rPr>
          <w:rFonts w:ascii="Calibri" w:hAnsi="Calibri" w:cs="Calibri"/>
          <w:color w:val="002060"/>
          <w:sz w:val="18"/>
          <w:szCs w:val="18"/>
        </w:rPr>
      </w:pPr>
      <w:r w:rsidRPr="00211FB6">
        <w:rPr>
          <w:rFonts w:ascii="Calibri" w:hAnsi="Calibri" w:cs="Calibri"/>
          <w:color w:val="002060"/>
          <w:sz w:val="18"/>
          <w:szCs w:val="18"/>
        </w:rPr>
        <w:t xml:space="preserve">Il dubbio è sollevato da </w:t>
      </w:r>
      <w:proofErr w:type="spellStart"/>
      <w:r w:rsidRPr="00211FB6">
        <w:rPr>
          <w:rFonts w:ascii="Calibri" w:hAnsi="Calibri" w:cs="Calibri"/>
          <w:color w:val="002060"/>
          <w:sz w:val="18"/>
          <w:szCs w:val="18"/>
        </w:rPr>
        <w:t>C</w:t>
      </w:r>
      <w:r w:rsidRPr="00211FB6">
        <w:rPr>
          <w:rFonts w:ascii="Calibri" w:hAnsi="Calibri" w:cs="Calibri"/>
          <w:smallCaps/>
          <w:color w:val="002060"/>
          <w:sz w:val="18"/>
          <w:szCs w:val="18"/>
        </w:rPr>
        <w:t>apozzi</w:t>
      </w:r>
      <w:proofErr w:type="spellEnd"/>
      <w:r w:rsidRPr="00211FB6">
        <w:rPr>
          <w:rFonts w:ascii="Calibri" w:hAnsi="Calibri" w:cs="Calibri"/>
          <w:smallCaps/>
          <w:color w:val="002060"/>
          <w:sz w:val="18"/>
          <w:szCs w:val="18"/>
        </w:rPr>
        <w:t xml:space="preserve">, </w:t>
      </w:r>
      <w:r w:rsidRPr="00211FB6">
        <w:rPr>
          <w:rFonts w:ascii="Calibri" w:hAnsi="Calibri" w:cs="Calibri"/>
          <w:i/>
          <w:color w:val="002060"/>
          <w:sz w:val="18"/>
          <w:szCs w:val="18"/>
        </w:rPr>
        <w:t>op. cit.</w:t>
      </w:r>
      <w:r w:rsidRPr="00211FB6">
        <w:rPr>
          <w:rFonts w:ascii="Calibri" w:hAnsi="Calibri" w:cs="Calibri"/>
          <w:color w:val="002060"/>
          <w:sz w:val="18"/>
          <w:szCs w:val="18"/>
        </w:rPr>
        <w:t>, 111, nt. 198.</w:t>
      </w:r>
    </w:p>
    <w:p w:rsidR="00254FC2" w:rsidRPr="00211FB6" w:rsidRDefault="00254FC2" w:rsidP="00254FC2">
      <w:pPr>
        <w:numPr>
          <w:ilvl w:val="0"/>
          <w:numId w:val="5"/>
        </w:numPr>
        <w:spacing w:line="240" w:lineRule="auto"/>
        <w:ind w:left="567" w:hanging="283"/>
        <w:rPr>
          <w:rFonts w:ascii="Calibri" w:hAnsi="Calibri" w:cs="Calibri"/>
          <w:color w:val="002060"/>
          <w:sz w:val="18"/>
          <w:szCs w:val="18"/>
        </w:rPr>
      </w:pPr>
      <w:r w:rsidRPr="00211FB6">
        <w:rPr>
          <w:rFonts w:ascii="Calibri" w:hAnsi="Calibri" w:cs="Calibri"/>
          <w:color w:val="002060"/>
          <w:sz w:val="18"/>
          <w:szCs w:val="18"/>
        </w:rPr>
        <w:t>Cfr. S</w:t>
      </w:r>
      <w:r w:rsidRPr="00211FB6">
        <w:rPr>
          <w:rFonts w:ascii="Calibri" w:hAnsi="Calibri" w:cs="Calibri"/>
          <w:smallCaps/>
          <w:color w:val="002060"/>
          <w:sz w:val="18"/>
          <w:szCs w:val="18"/>
        </w:rPr>
        <w:t xml:space="preserve">aporito, </w:t>
      </w:r>
      <w:r w:rsidRPr="00211FB6">
        <w:rPr>
          <w:rFonts w:ascii="Calibri" w:hAnsi="Calibri" w:cs="Calibri"/>
          <w:i/>
          <w:color w:val="002060"/>
          <w:sz w:val="18"/>
          <w:szCs w:val="18"/>
        </w:rPr>
        <w:t>L’accettazione dell’eredità</w:t>
      </w:r>
      <w:r w:rsidRPr="00211FB6">
        <w:rPr>
          <w:rFonts w:ascii="Calibri" w:hAnsi="Calibri" w:cs="Calibri"/>
          <w:color w:val="002060"/>
          <w:sz w:val="18"/>
          <w:szCs w:val="18"/>
        </w:rPr>
        <w:t xml:space="preserve">, in </w:t>
      </w:r>
      <w:r w:rsidRPr="00211FB6">
        <w:rPr>
          <w:rFonts w:ascii="Calibri" w:hAnsi="Calibri" w:cs="Calibri"/>
          <w:i/>
          <w:color w:val="002060"/>
          <w:sz w:val="18"/>
          <w:szCs w:val="18"/>
        </w:rPr>
        <w:t>Trattavo breve delle successioni e donazioni</w:t>
      </w:r>
      <w:r w:rsidRPr="00211FB6">
        <w:rPr>
          <w:rFonts w:ascii="Calibri" w:hAnsi="Calibri" w:cs="Calibri"/>
          <w:color w:val="002060"/>
          <w:sz w:val="18"/>
          <w:szCs w:val="18"/>
        </w:rPr>
        <w:t xml:space="preserve">, dir. da </w:t>
      </w:r>
      <w:r w:rsidRPr="00211FB6">
        <w:rPr>
          <w:rFonts w:ascii="Calibri" w:hAnsi="Calibri" w:cs="Calibri"/>
          <w:smallCaps/>
          <w:color w:val="002060"/>
          <w:sz w:val="18"/>
          <w:szCs w:val="18"/>
        </w:rPr>
        <w:t xml:space="preserve">Rescigno, </w:t>
      </w:r>
      <w:r w:rsidRPr="00211FB6">
        <w:rPr>
          <w:rFonts w:ascii="Calibri" w:hAnsi="Calibri" w:cs="Calibri"/>
          <w:color w:val="002060"/>
          <w:sz w:val="18"/>
          <w:szCs w:val="18"/>
        </w:rPr>
        <w:t>Padova, 2010, 300 ss.; C</w:t>
      </w:r>
      <w:r w:rsidRPr="00211FB6">
        <w:rPr>
          <w:rFonts w:ascii="Calibri" w:hAnsi="Calibri" w:cs="Calibri"/>
          <w:smallCaps/>
          <w:color w:val="002060"/>
          <w:sz w:val="18"/>
          <w:szCs w:val="18"/>
        </w:rPr>
        <w:t xml:space="preserve">icala, </w:t>
      </w:r>
      <w:r w:rsidRPr="00211FB6">
        <w:rPr>
          <w:rFonts w:ascii="Calibri" w:hAnsi="Calibri" w:cs="Calibri"/>
          <w:i/>
          <w:color w:val="002060"/>
          <w:sz w:val="18"/>
          <w:szCs w:val="18"/>
        </w:rPr>
        <w:t>La trasmissione del diritto di accettare l’eredità</w:t>
      </w:r>
      <w:r w:rsidRPr="00211FB6">
        <w:rPr>
          <w:rFonts w:ascii="Calibri" w:hAnsi="Calibri" w:cs="Calibri"/>
          <w:color w:val="002060"/>
          <w:sz w:val="18"/>
          <w:szCs w:val="18"/>
        </w:rPr>
        <w:t xml:space="preserve">, in </w:t>
      </w:r>
      <w:r w:rsidRPr="00211FB6">
        <w:rPr>
          <w:rFonts w:ascii="Calibri" w:hAnsi="Calibri" w:cs="Calibri"/>
          <w:i/>
          <w:color w:val="002060"/>
          <w:sz w:val="18"/>
          <w:szCs w:val="18"/>
        </w:rPr>
        <w:t xml:space="preserve">Trattato di dir. delle succ. e </w:t>
      </w:r>
      <w:r w:rsidR="002E2DD1" w:rsidRPr="00211FB6">
        <w:rPr>
          <w:rFonts w:ascii="Calibri" w:hAnsi="Calibri" w:cs="Calibri"/>
          <w:i/>
          <w:color w:val="002060"/>
          <w:sz w:val="18"/>
          <w:szCs w:val="18"/>
        </w:rPr>
        <w:t>don.</w:t>
      </w:r>
      <w:r w:rsidRPr="00211FB6">
        <w:rPr>
          <w:rFonts w:ascii="Calibri" w:hAnsi="Calibri" w:cs="Calibri"/>
          <w:color w:val="002060"/>
          <w:sz w:val="18"/>
          <w:szCs w:val="18"/>
        </w:rPr>
        <w:t xml:space="preserve"> dir. da </w:t>
      </w:r>
      <w:proofErr w:type="spellStart"/>
      <w:r w:rsidRPr="00211FB6">
        <w:rPr>
          <w:rFonts w:ascii="Calibri" w:hAnsi="Calibri" w:cs="Calibri"/>
          <w:smallCaps/>
          <w:color w:val="002060"/>
          <w:sz w:val="18"/>
          <w:szCs w:val="18"/>
        </w:rPr>
        <w:t>Bonilini</w:t>
      </w:r>
      <w:proofErr w:type="spellEnd"/>
      <w:r w:rsidRPr="00211FB6">
        <w:rPr>
          <w:rFonts w:ascii="Calibri" w:hAnsi="Calibri" w:cs="Calibri"/>
          <w:smallCaps/>
          <w:color w:val="002060"/>
          <w:sz w:val="18"/>
          <w:szCs w:val="18"/>
        </w:rPr>
        <w:t xml:space="preserve">, </w:t>
      </w:r>
      <w:r w:rsidRPr="00211FB6">
        <w:rPr>
          <w:rFonts w:ascii="Calibri" w:hAnsi="Calibri" w:cs="Calibri"/>
          <w:color w:val="002060"/>
          <w:sz w:val="18"/>
          <w:szCs w:val="18"/>
        </w:rPr>
        <w:t>I, Milano, 2009, 1069 ss.</w:t>
      </w:r>
    </w:p>
    <w:p w:rsidR="00254FC2" w:rsidRPr="00211FB6" w:rsidRDefault="00254FC2" w:rsidP="00254FC2">
      <w:pPr>
        <w:numPr>
          <w:ilvl w:val="0"/>
          <w:numId w:val="5"/>
        </w:numPr>
        <w:spacing w:line="240" w:lineRule="auto"/>
        <w:ind w:left="567" w:hanging="283"/>
        <w:rPr>
          <w:rFonts w:ascii="Calibri" w:hAnsi="Calibri" w:cs="Calibri"/>
          <w:color w:val="002060"/>
          <w:sz w:val="18"/>
          <w:szCs w:val="18"/>
        </w:rPr>
      </w:pPr>
      <w:r w:rsidRPr="00211FB6">
        <w:rPr>
          <w:rFonts w:ascii="Calibri" w:hAnsi="Calibri" w:cs="Calibri"/>
          <w:color w:val="002060"/>
          <w:sz w:val="18"/>
          <w:szCs w:val="18"/>
        </w:rPr>
        <w:t>In tal senso sembrerebbe esprimersi F</w:t>
      </w:r>
      <w:r w:rsidRPr="00211FB6">
        <w:rPr>
          <w:rFonts w:ascii="Calibri" w:hAnsi="Calibri" w:cs="Calibri"/>
          <w:smallCaps/>
          <w:color w:val="002060"/>
          <w:sz w:val="18"/>
          <w:szCs w:val="18"/>
        </w:rPr>
        <w:t xml:space="preserve">erri, </w:t>
      </w:r>
      <w:r w:rsidRPr="00211FB6">
        <w:rPr>
          <w:rFonts w:ascii="Calibri" w:hAnsi="Calibri" w:cs="Calibri"/>
          <w:i/>
          <w:smallCaps/>
          <w:color w:val="002060"/>
          <w:sz w:val="18"/>
          <w:szCs w:val="18"/>
        </w:rPr>
        <w:t>D</w:t>
      </w:r>
      <w:r w:rsidRPr="00211FB6">
        <w:rPr>
          <w:rFonts w:ascii="Calibri" w:hAnsi="Calibri" w:cs="Calibri"/>
          <w:i/>
          <w:color w:val="002060"/>
          <w:sz w:val="18"/>
          <w:szCs w:val="18"/>
        </w:rPr>
        <w:t>isposizioni generali sulle successioni</w:t>
      </w:r>
      <w:r w:rsidRPr="00211FB6">
        <w:rPr>
          <w:rFonts w:ascii="Calibri" w:hAnsi="Calibri" w:cs="Calibri"/>
          <w:color w:val="002060"/>
          <w:sz w:val="18"/>
          <w:szCs w:val="18"/>
        </w:rPr>
        <w:t xml:space="preserve">, Art. 456-511, in </w:t>
      </w:r>
      <w:r w:rsidRPr="00211FB6">
        <w:rPr>
          <w:rFonts w:ascii="Calibri" w:hAnsi="Calibri" w:cs="Calibri"/>
          <w:i/>
          <w:color w:val="002060"/>
          <w:sz w:val="18"/>
          <w:szCs w:val="18"/>
        </w:rPr>
        <w:t>Comm. Scialoja-Branca</w:t>
      </w:r>
      <w:r w:rsidRPr="00211FB6">
        <w:rPr>
          <w:rFonts w:ascii="Calibri" w:hAnsi="Calibri" w:cs="Calibri"/>
          <w:color w:val="002060"/>
          <w:sz w:val="18"/>
          <w:szCs w:val="18"/>
        </w:rPr>
        <w:t xml:space="preserve">, Bologna-Roma, 1997, 300, laddove afferma che «La trasmissione della delazione esclude anche la successione per rappresentazione in quanto il trasmissario, prendendo il posto del trasmittente, impedisce il realizzarsi dei presupposti della rappresentazione. </w:t>
      </w:r>
      <w:r w:rsidRPr="00211FB6">
        <w:rPr>
          <w:rFonts w:ascii="Calibri" w:hAnsi="Calibri" w:cs="Calibri"/>
          <w:b/>
          <w:i/>
          <w:color w:val="002060"/>
          <w:sz w:val="18"/>
          <w:szCs w:val="18"/>
        </w:rPr>
        <w:t>Solo quando il trasmissario rinunciasse potrebbe farsi luogo a successione per rappresentazione</w:t>
      </w:r>
      <w:r w:rsidRPr="00211FB6">
        <w:rPr>
          <w:rFonts w:ascii="Calibri" w:hAnsi="Calibri" w:cs="Calibri"/>
          <w:color w:val="002060"/>
          <w:sz w:val="18"/>
          <w:szCs w:val="18"/>
        </w:rPr>
        <w:t>».</w:t>
      </w:r>
    </w:p>
    <w:p w:rsidR="00254FC2" w:rsidRPr="00211FB6" w:rsidRDefault="00254FC2" w:rsidP="00254FC2">
      <w:pPr>
        <w:numPr>
          <w:ilvl w:val="0"/>
          <w:numId w:val="5"/>
        </w:numPr>
        <w:spacing w:line="240" w:lineRule="auto"/>
        <w:ind w:left="567" w:hanging="283"/>
        <w:rPr>
          <w:rFonts w:ascii="Calibri" w:hAnsi="Calibri" w:cs="Calibri"/>
          <w:color w:val="002060"/>
          <w:sz w:val="18"/>
          <w:szCs w:val="18"/>
        </w:rPr>
      </w:pPr>
      <w:r w:rsidRPr="00211FB6">
        <w:rPr>
          <w:rFonts w:ascii="Calibri" w:hAnsi="Calibri" w:cs="Calibri"/>
          <w:color w:val="002060"/>
          <w:sz w:val="18"/>
          <w:szCs w:val="18"/>
        </w:rPr>
        <w:t xml:space="preserve">Cfr. </w:t>
      </w:r>
      <w:proofErr w:type="spellStart"/>
      <w:r w:rsidRPr="00211FB6">
        <w:rPr>
          <w:rFonts w:ascii="Calibri" w:hAnsi="Calibri" w:cs="Calibri"/>
          <w:color w:val="002060"/>
          <w:sz w:val="18"/>
          <w:szCs w:val="18"/>
        </w:rPr>
        <w:t>C</w:t>
      </w:r>
      <w:r w:rsidRPr="00211FB6">
        <w:rPr>
          <w:rFonts w:ascii="Calibri" w:hAnsi="Calibri" w:cs="Calibri"/>
          <w:smallCaps/>
          <w:color w:val="002060"/>
          <w:sz w:val="18"/>
          <w:szCs w:val="18"/>
        </w:rPr>
        <w:t>apozzi</w:t>
      </w:r>
      <w:proofErr w:type="spellEnd"/>
      <w:r w:rsidRPr="00211FB6">
        <w:rPr>
          <w:rFonts w:ascii="Calibri" w:hAnsi="Calibri" w:cs="Calibri"/>
          <w:smallCaps/>
          <w:color w:val="002060"/>
          <w:sz w:val="18"/>
          <w:szCs w:val="18"/>
        </w:rPr>
        <w:t xml:space="preserve">, </w:t>
      </w:r>
      <w:r w:rsidRPr="00211FB6">
        <w:rPr>
          <w:rFonts w:ascii="Calibri" w:hAnsi="Calibri" w:cs="Calibri"/>
          <w:i/>
          <w:color w:val="002060"/>
          <w:sz w:val="18"/>
          <w:szCs w:val="18"/>
        </w:rPr>
        <w:t>op. cit.</w:t>
      </w:r>
      <w:r w:rsidRPr="00211FB6">
        <w:rPr>
          <w:rFonts w:ascii="Calibri" w:hAnsi="Calibri" w:cs="Calibri"/>
          <w:color w:val="002060"/>
          <w:sz w:val="18"/>
          <w:szCs w:val="18"/>
        </w:rPr>
        <w:t xml:space="preserve">, 216 con dottrina e giurisprudenza </w:t>
      </w:r>
      <w:r w:rsidRPr="00211FB6">
        <w:rPr>
          <w:rFonts w:ascii="Calibri" w:hAnsi="Calibri" w:cs="Calibri"/>
          <w:i/>
          <w:color w:val="002060"/>
          <w:sz w:val="18"/>
          <w:szCs w:val="18"/>
        </w:rPr>
        <w:t xml:space="preserve">ivi </w:t>
      </w:r>
      <w:r w:rsidRPr="00211FB6">
        <w:rPr>
          <w:rFonts w:ascii="Calibri" w:hAnsi="Calibri" w:cs="Calibri"/>
          <w:color w:val="002060"/>
          <w:sz w:val="18"/>
          <w:szCs w:val="18"/>
        </w:rPr>
        <w:t>citati.</w:t>
      </w:r>
    </w:p>
    <w:p w:rsidR="00254FC2" w:rsidRPr="00211FB6" w:rsidRDefault="002E2DD1" w:rsidP="00254FC2">
      <w:pPr>
        <w:numPr>
          <w:ilvl w:val="0"/>
          <w:numId w:val="5"/>
        </w:numPr>
        <w:spacing w:line="240" w:lineRule="auto"/>
        <w:ind w:left="567" w:hanging="283"/>
        <w:rPr>
          <w:rFonts w:ascii="Calibri" w:hAnsi="Calibri" w:cs="Calibri"/>
          <w:color w:val="002060"/>
          <w:sz w:val="18"/>
          <w:szCs w:val="18"/>
        </w:rPr>
      </w:pPr>
      <w:r w:rsidRPr="00211FB6">
        <w:rPr>
          <w:rFonts w:ascii="Calibri" w:hAnsi="Calibri" w:cs="Calibri"/>
          <w:color w:val="002060"/>
          <w:sz w:val="18"/>
          <w:szCs w:val="18"/>
        </w:rPr>
        <w:t>Cass.</w:t>
      </w:r>
      <w:r w:rsidR="00254FC2" w:rsidRPr="00211FB6">
        <w:rPr>
          <w:rFonts w:ascii="Calibri" w:hAnsi="Calibri" w:cs="Calibri"/>
          <w:color w:val="002060"/>
          <w:sz w:val="18"/>
          <w:szCs w:val="18"/>
        </w:rPr>
        <w:t xml:space="preserve"> 20 aprile 1944, n. 266, in </w:t>
      </w:r>
      <w:r w:rsidR="00254FC2" w:rsidRPr="00211FB6">
        <w:rPr>
          <w:rFonts w:ascii="Calibri" w:hAnsi="Calibri" w:cs="Calibri"/>
          <w:i/>
          <w:color w:val="002060"/>
          <w:sz w:val="18"/>
          <w:szCs w:val="18"/>
        </w:rPr>
        <w:t xml:space="preserve">Rep. foro </w:t>
      </w:r>
      <w:r w:rsidRPr="00211FB6">
        <w:rPr>
          <w:rFonts w:ascii="Calibri" w:hAnsi="Calibri" w:cs="Calibri"/>
          <w:i/>
          <w:color w:val="002060"/>
          <w:sz w:val="18"/>
          <w:szCs w:val="18"/>
        </w:rPr>
        <w:t>it.</w:t>
      </w:r>
      <w:r w:rsidR="00254FC2" w:rsidRPr="00211FB6">
        <w:rPr>
          <w:rFonts w:ascii="Calibri" w:hAnsi="Calibri" w:cs="Calibri"/>
          <w:color w:val="002060"/>
          <w:sz w:val="18"/>
          <w:szCs w:val="18"/>
        </w:rPr>
        <w:t xml:space="preserve"> 1943-45, [Successione legittima o testamentaria n. 177], 155; nonché richiamata in R</w:t>
      </w:r>
      <w:r w:rsidR="00254FC2" w:rsidRPr="00211FB6">
        <w:rPr>
          <w:rFonts w:ascii="Calibri" w:hAnsi="Calibri" w:cs="Calibri"/>
          <w:smallCaps/>
          <w:color w:val="002060"/>
          <w:sz w:val="18"/>
          <w:szCs w:val="18"/>
        </w:rPr>
        <w:t xml:space="preserve">uperto, </w:t>
      </w:r>
      <w:r w:rsidR="00254FC2" w:rsidRPr="00211FB6">
        <w:rPr>
          <w:rFonts w:ascii="Calibri" w:hAnsi="Calibri" w:cs="Calibri"/>
          <w:i/>
          <w:color w:val="002060"/>
          <w:sz w:val="18"/>
          <w:szCs w:val="18"/>
        </w:rPr>
        <w:t>La giurisprudenza sul codice civile coordinata con la dottrina</w:t>
      </w:r>
      <w:r w:rsidR="00254FC2" w:rsidRPr="00211FB6">
        <w:rPr>
          <w:rFonts w:ascii="Calibri" w:hAnsi="Calibri" w:cs="Calibri"/>
          <w:color w:val="002060"/>
          <w:sz w:val="18"/>
          <w:szCs w:val="18"/>
        </w:rPr>
        <w:t xml:space="preserve">, Libro II, a cura di </w:t>
      </w:r>
      <w:r w:rsidR="00254FC2" w:rsidRPr="00211FB6">
        <w:rPr>
          <w:rFonts w:ascii="Calibri" w:hAnsi="Calibri" w:cs="Calibri"/>
          <w:smallCaps/>
          <w:color w:val="002060"/>
          <w:sz w:val="18"/>
          <w:szCs w:val="18"/>
        </w:rPr>
        <w:t>Carnevale, Milano</w:t>
      </w:r>
      <w:r w:rsidR="00254FC2" w:rsidRPr="00211FB6">
        <w:rPr>
          <w:rFonts w:ascii="Calibri" w:hAnsi="Calibri" w:cs="Calibri"/>
          <w:color w:val="002060"/>
          <w:sz w:val="18"/>
          <w:szCs w:val="18"/>
        </w:rPr>
        <w:t>, 2012, 441.</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11B2EE6"/>
    <w:multiLevelType w:val="hybridMultilevel"/>
    <w:tmpl w:val="B9CEACA8"/>
    <w:lvl w:ilvl="0" w:tplc="AC9687DC">
      <w:start w:val="1"/>
      <w:numFmt w:val="decimal"/>
      <w:lvlText w:val="%1)"/>
      <w:lvlJc w:val="left"/>
      <w:pPr>
        <w:ind w:left="1004" w:hanging="360"/>
      </w:pPr>
      <w:rPr>
        <w:rFonts w:cs="Times New Roman" w:hint="default"/>
        <w:b/>
        <w:i w:val="0"/>
        <w:sz w:val="24"/>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C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54FC2"/>
    <w:rsid w:val="002755FC"/>
    <w:rsid w:val="002A3ED2"/>
    <w:rsid w:val="002B3C01"/>
    <w:rsid w:val="002E2DD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101A"/>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B9857E-C2C8-4506-8375-E8FA9183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4FC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851</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3</cp:revision>
  <dcterms:created xsi:type="dcterms:W3CDTF">2014-07-05T07:05:00Z</dcterms:created>
  <dcterms:modified xsi:type="dcterms:W3CDTF">2014-07-05T07:14:00Z</dcterms:modified>
</cp:coreProperties>
</file>