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2368D" w14:textId="77777777" w:rsidR="00497C4C" w:rsidRPr="00497C4C" w:rsidRDefault="00497C4C" w:rsidP="00497C4C">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bookmarkStart w:id="0" w:name="_GoBack"/>
      <w:r w:rsidRPr="00497C4C">
        <w:rPr>
          <w:rFonts w:ascii="Times New Roman" w:eastAsia="Times New Roman" w:hAnsi="Times New Roman" w:cs="Times New Roman"/>
          <w:b/>
          <w:bCs/>
          <w:sz w:val="36"/>
          <w:szCs w:val="36"/>
          <w:lang w:eastAsia="it-IT"/>
        </w:rPr>
        <w:t xml:space="preserve">Quesito Civilistico n. 87-2018/C. Sostituzione fedecommissaria e trust testamentario </w:t>
      </w:r>
    </w:p>
    <w:bookmarkEnd w:id="0"/>
    <w:p w14:paraId="6C139EE7"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i/>
          <w:iCs/>
          <w:sz w:val="24"/>
          <w:szCs w:val="24"/>
          <w:lang w:eastAsia="it-IT"/>
        </w:rPr>
        <w:t>Risposta del 4 maggio 2018</w:t>
      </w:r>
    </w:p>
    <w:p w14:paraId="47C40266"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w:t>
      </w:r>
    </w:p>
    <w:p w14:paraId="459CCDE8"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Si prospetta la seguente fattispecie concreta: la signora Tizia, vedova, ha un figlio interdetto, ricoverato in una struttura psichiatrica. Vorrebbe effettuare testamento nominando erede il figlio con obbligo di conservare e restituire i beni ad un soggetto, Caio, che dovrà prendersi cura di lui. La particolarità risiede nel fatto che l’interdetto non può essere allontanato dalla struttura sanitaria e le visite devono essere concordate con il medico in modo da non alterare l’equilibrio psichico dell’interdetto. La cura sarebbe allora definita dalla stessa Tizia nelle seguenti attività: fare visite regolari all’interdetto e pagare eventuali visite specialistiche e laddove consentito fare effettuare all’interdetto brevi uscite dalla struttura sostenendone le spese. In genere provvedere a tutte quelle esigenze cui non può sopperire la struttura sanitaria, in guisa che all’interdetto non debba mancare nulla.</w:t>
      </w:r>
    </w:p>
    <w:p w14:paraId="2B9428BB"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Rispetto tale fattispecie, e stante la sua peculiarità, si chiede se sia ricevibile un testamento pubblico nel quale si preveda una sostituzione fedecommissaria indicando il nominato del soggetto che si prenderà cura dell’interdetto nonché le attività in cui consisterà la cura. Attività, queste, da verificare se possano farsi rientrare nella formula normativa “prendersi cura” di cui all’art. 692 c.c.</w:t>
      </w:r>
    </w:p>
    <w:p w14:paraId="6DEB538A"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xml:space="preserve">In alternativa, si chiede se sia legittimo, in base alla l. n. 112/2016, un </w:t>
      </w:r>
      <w:r w:rsidRPr="00497C4C">
        <w:rPr>
          <w:rFonts w:ascii="Times New Roman" w:eastAsia="Times New Roman" w:hAnsi="Times New Roman" w:cs="Times New Roman"/>
          <w:i/>
          <w:iCs/>
          <w:sz w:val="24"/>
          <w:szCs w:val="24"/>
          <w:lang w:eastAsia="it-IT"/>
        </w:rPr>
        <w:t>trust</w:t>
      </w:r>
      <w:r w:rsidRPr="00497C4C">
        <w:rPr>
          <w:rFonts w:ascii="Times New Roman" w:eastAsia="Times New Roman" w:hAnsi="Times New Roman" w:cs="Times New Roman"/>
          <w:sz w:val="24"/>
          <w:szCs w:val="24"/>
          <w:lang w:eastAsia="it-IT"/>
        </w:rPr>
        <w:t xml:space="preserve"> testamentario, indicando un altro soggetto come beneficiario finale dopo la morte dell’interdetto.</w:t>
      </w:r>
    </w:p>
    <w:p w14:paraId="77F0CB84"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Il primo problema è stabilire se il testatore ha il potere di designare il sostituto ovvero se può individuare direttamente nel testamento i beneficiari della sostituzione fedecommissaria.</w:t>
      </w:r>
    </w:p>
    <w:p w14:paraId="6BBC86DA"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In dottrina vi è chi lo nega.</w:t>
      </w:r>
    </w:p>
    <w:p w14:paraId="3A8E5BCC"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xml:space="preserve">Ad avviso di Autorevole dottrina, la lettera dell’art. 692 c.c. sembra ammettere «soltanto la possibilità che il testatore disponga la sostituzione fedecommissaria con una </w:t>
      </w:r>
      <w:r w:rsidRPr="00497C4C">
        <w:rPr>
          <w:rFonts w:ascii="Times New Roman" w:eastAsia="Times New Roman" w:hAnsi="Times New Roman" w:cs="Times New Roman"/>
          <w:i/>
          <w:iCs/>
          <w:sz w:val="24"/>
          <w:szCs w:val="24"/>
          <w:lang w:eastAsia="it-IT"/>
        </w:rPr>
        <w:t xml:space="preserve">relatio </w:t>
      </w:r>
      <w:r w:rsidRPr="00497C4C">
        <w:rPr>
          <w:rFonts w:ascii="Times New Roman" w:eastAsia="Times New Roman" w:hAnsi="Times New Roman" w:cs="Times New Roman"/>
          <w:sz w:val="24"/>
          <w:szCs w:val="24"/>
          <w:lang w:eastAsia="it-IT"/>
        </w:rPr>
        <w:t xml:space="preserve">a coloro “che, sotto la vigilanza del tutore, avranno avuto cura dell’interdetto”. Ciò viene confermato dal 2° comma che prevede, per l’appunto, una distribuzione dei beni a favore dei beneficiari proporzionale “al tempo durante il quale gli stessi hanno avuto cura dell’interdetto» </w:t>
      </w:r>
      <w:bookmarkStart w:id="1" w:name="_ftnref1"/>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"_ftn1"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[1]</w:t>
      </w:r>
      <w:r w:rsidRPr="00497C4C">
        <w:rPr>
          <w:rFonts w:ascii="Times New Roman" w:eastAsia="Times New Roman" w:hAnsi="Times New Roman" w:cs="Times New Roman"/>
          <w:sz w:val="24"/>
          <w:szCs w:val="24"/>
          <w:lang w:eastAsia="it-IT"/>
        </w:rPr>
        <w:fldChar w:fldCharType="end"/>
      </w:r>
      <w:bookmarkEnd w:id="1"/>
      <w:r w:rsidRPr="00497C4C">
        <w:rPr>
          <w:rFonts w:ascii="Times New Roman" w:eastAsia="Times New Roman" w:hAnsi="Times New Roman" w:cs="Times New Roman"/>
          <w:sz w:val="24"/>
          <w:szCs w:val="24"/>
          <w:lang w:eastAsia="it-IT"/>
        </w:rPr>
        <w:t>.</w:t>
      </w:r>
    </w:p>
    <w:p w14:paraId="02646BAB"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Per come formulata la struttura lessicale della disposizione, l’Autore considera quindi nulla la sostituzione fedecommissaria formulata in uno dei seguenti modi, laddove il testatore disponga la sostituzione fedecommissaria:</w:t>
      </w:r>
    </w:p>
    <w:p w14:paraId="61832854"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a favore di determinate persone, purché provvedano alla cura dell’interdetto;</w:t>
      </w:r>
    </w:p>
    <w:p w14:paraId="7FAF1AF8"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genericamente a favore di alcune di esse.</w:t>
      </w:r>
    </w:p>
    <w:p w14:paraId="7BAAA7FB"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xml:space="preserve">Stante tale preclusione, per salvare comunque la volontà del testatore, l’Autore propone una diversa soluzione e cioè che «il testatore possa disporre, mediante un </w:t>
      </w:r>
      <w:r w:rsidRPr="00497C4C">
        <w:rPr>
          <w:rFonts w:ascii="Times New Roman" w:eastAsia="Times New Roman" w:hAnsi="Times New Roman" w:cs="Times New Roman"/>
          <w:i/>
          <w:iCs/>
          <w:sz w:val="24"/>
          <w:szCs w:val="24"/>
          <w:lang w:eastAsia="it-IT"/>
        </w:rPr>
        <w:t xml:space="preserve">modus </w:t>
      </w:r>
      <w:r w:rsidRPr="00497C4C">
        <w:rPr>
          <w:rFonts w:ascii="Times New Roman" w:eastAsia="Times New Roman" w:hAnsi="Times New Roman" w:cs="Times New Roman"/>
          <w:sz w:val="24"/>
          <w:szCs w:val="24"/>
          <w:lang w:eastAsia="it-IT"/>
        </w:rPr>
        <w:t xml:space="preserve">afferente all’istituzione del primo chiamato, che la cura e l’assistenza dell’incapace vengano esercitata in una certa maniera. Quali che siano i limiti in cui si può disporre un </w:t>
      </w:r>
      <w:r w:rsidRPr="00497C4C">
        <w:rPr>
          <w:rFonts w:ascii="Times New Roman" w:eastAsia="Times New Roman" w:hAnsi="Times New Roman" w:cs="Times New Roman"/>
          <w:i/>
          <w:iCs/>
          <w:sz w:val="24"/>
          <w:szCs w:val="24"/>
          <w:lang w:eastAsia="it-IT"/>
        </w:rPr>
        <w:t xml:space="preserve">modus </w:t>
      </w:r>
      <w:r w:rsidRPr="00497C4C">
        <w:rPr>
          <w:rFonts w:ascii="Times New Roman" w:eastAsia="Times New Roman" w:hAnsi="Times New Roman" w:cs="Times New Roman"/>
          <w:sz w:val="24"/>
          <w:szCs w:val="24"/>
          <w:lang w:eastAsia="it-IT"/>
        </w:rPr>
        <w:t xml:space="preserve">siffatto, esso non viene però ad incidere sui presupposti </w:t>
      </w:r>
      <w:r w:rsidRPr="00497C4C">
        <w:rPr>
          <w:rFonts w:ascii="Times New Roman" w:eastAsia="Times New Roman" w:hAnsi="Times New Roman" w:cs="Times New Roman"/>
          <w:sz w:val="24"/>
          <w:szCs w:val="24"/>
          <w:lang w:eastAsia="it-IT"/>
        </w:rPr>
        <w:lastRenderedPageBreak/>
        <w:t xml:space="preserve">di validità della sostituzione fedecommissaria (…) e si darà soltanto il problema dell’adempimento di esso» </w:t>
      </w:r>
      <w:bookmarkStart w:id="2" w:name="_ftnref2"/>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"_ftn2"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[2]</w:t>
      </w:r>
      <w:r w:rsidRPr="00497C4C">
        <w:rPr>
          <w:rFonts w:ascii="Times New Roman" w:eastAsia="Times New Roman" w:hAnsi="Times New Roman" w:cs="Times New Roman"/>
          <w:sz w:val="24"/>
          <w:szCs w:val="24"/>
          <w:lang w:eastAsia="it-IT"/>
        </w:rPr>
        <w:fldChar w:fldCharType="end"/>
      </w:r>
      <w:bookmarkEnd w:id="2"/>
      <w:r w:rsidRPr="00497C4C">
        <w:rPr>
          <w:rFonts w:ascii="Times New Roman" w:eastAsia="Times New Roman" w:hAnsi="Times New Roman" w:cs="Times New Roman"/>
          <w:sz w:val="24"/>
          <w:szCs w:val="24"/>
          <w:lang w:eastAsia="it-IT"/>
        </w:rPr>
        <w:t>.</w:t>
      </w:r>
    </w:p>
    <w:p w14:paraId="5CFB4D2E"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xml:space="preserve">In alternativa a questa soluzione si potrebbe tuttavia seguire anche un’altra strada. Altra dottrina, infatti, «pur ammettendo che il sostituto possa essere comunque designato </w:t>
      </w:r>
      <w:r w:rsidRPr="00497C4C">
        <w:rPr>
          <w:rFonts w:ascii="Times New Roman" w:eastAsia="Times New Roman" w:hAnsi="Times New Roman" w:cs="Times New Roman"/>
          <w:i/>
          <w:iCs/>
          <w:sz w:val="24"/>
          <w:szCs w:val="24"/>
          <w:lang w:eastAsia="it-IT"/>
        </w:rPr>
        <w:t>in incertam personam</w:t>
      </w:r>
      <w:r w:rsidRPr="00497C4C">
        <w:rPr>
          <w:rFonts w:ascii="Times New Roman" w:eastAsia="Times New Roman" w:hAnsi="Times New Roman" w:cs="Times New Roman"/>
          <w:sz w:val="24"/>
          <w:szCs w:val="24"/>
          <w:lang w:eastAsia="it-IT"/>
        </w:rPr>
        <w:t xml:space="preserve">, attraverso una </w:t>
      </w:r>
      <w:r w:rsidRPr="00497C4C">
        <w:rPr>
          <w:rFonts w:ascii="Times New Roman" w:eastAsia="Times New Roman" w:hAnsi="Times New Roman" w:cs="Times New Roman"/>
          <w:i/>
          <w:iCs/>
          <w:sz w:val="24"/>
          <w:szCs w:val="24"/>
          <w:lang w:eastAsia="it-IT"/>
        </w:rPr>
        <w:t xml:space="preserve">relatio </w:t>
      </w:r>
      <w:r w:rsidRPr="00497C4C">
        <w:rPr>
          <w:rFonts w:ascii="Times New Roman" w:eastAsia="Times New Roman" w:hAnsi="Times New Roman" w:cs="Times New Roman"/>
          <w:sz w:val="24"/>
          <w:szCs w:val="24"/>
          <w:lang w:eastAsia="it-IT"/>
        </w:rPr>
        <w:t xml:space="preserve">legale a favore di tutte le persone, fisiche e giuridiche, che si prendano cura dell’incapace, consente tuttavia che la specifica espressa designazione possa essere frutto dell’autonomia del testatore, il quale potrebbe addirittura nominare più sostituti, che operino congiuntamente ovvero successivamente (…) rimanendo fermo, in entrambe le ipotesi, il criterio della proporzionalità nell’attribuzione dei beni: esso riguarderebbe non soltanto il tempo per il quale la cura venga svolta da ciascuno, ma anche la quantità e la qualità dell’opera posta in essere a favore dell’incapace» </w:t>
      </w:r>
      <w:bookmarkStart w:id="3" w:name="_ftnref3"/>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"_ftn3"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[3]</w:t>
      </w:r>
      <w:r w:rsidRPr="00497C4C">
        <w:rPr>
          <w:rFonts w:ascii="Times New Roman" w:eastAsia="Times New Roman" w:hAnsi="Times New Roman" w:cs="Times New Roman"/>
          <w:sz w:val="24"/>
          <w:szCs w:val="24"/>
          <w:lang w:eastAsia="it-IT"/>
        </w:rPr>
        <w:fldChar w:fldCharType="end"/>
      </w:r>
      <w:bookmarkEnd w:id="3"/>
      <w:r w:rsidRPr="00497C4C">
        <w:rPr>
          <w:rFonts w:ascii="Times New Roman" w:eastAsia="Times New Roman" w:hAnsi="Times New Roman" w:cs="Times New Roman"/>
          <w:sz w:val="24"/>
          <w:szCs w:val="24"/>
          <w:lang w:eastAsia="it-IT"/>
        </w:rPr>
        <w:t>.</w:t>
      </w:r>
    </w:p>
    <w:p w14:paraId="2FCCC770"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xml:space="preserve">Altro problema è se beneficiario della sostituzione fedecommissaria possa anche essere il tutore, e quindi se la dicotomia “cura-vigilanza” possano coincidere nella stessa persona. Il problema si pone perché «il testo del co. 1 distingue, almeno per l’ipotesi normale, la funzione della cura dell’incapace da parte del sostituto da quella di vigilanza sul sostituto, affidata al tutore. Ma tale dicotomia “cura-vigilanza” non esclude che le due funzioni possono coincidere nella stessa persona» </w:t>
      </w:r>
      <w:bookmarkStart w:id="4" w:name="_ftnref4"/>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"_ftn4"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[4]</w:t>
      </w:r>
      <w:r w:rsidRPr="00497C4C">
        <w:rPr>
          <w:rFonts w:ascii="Times New Roman" w:eastAsia="Times New Roman" w:hAnsi="Times New Roman" w:cs="Times New Roman"/>
          <w:sz w:val="24"/>
          <w:szCs w:val="24"/>
          <w:lang w:eastAsia="it-IT"/>
        </w:rPr>
        <w:fldChar w:fldCharType="end"/>
      </w:r>
      <w:bookmarkEnd w:id="4"/>
      <w:r w:rsidRPr="00497C4C">
        <w:rPr>
          <w:rFonts w:ascii="Times New Roman" w:eastAsia="Times New Roman" w:hAnsi="Times New Roman" w:cs="Times New Roman"/>
          <w:sz w:val="24"/>
          <w:szCs w:val="24"/>
          <w:lang w:eastAsia="it-IT"/>
        </w:rPr>
        <w:t>. Di conseguenza, se si aderisce a questa ricostruzione, «qualora l’istituito sia già sottoposto a tutela, e si ammetta che il testatore possa designare un sostituto, potrà determinarsi il cumulo delle funzioni in capo allo stesso soggetto; ove invece, l’istituito non sia sottoposta ancora a tutela, ovvero sia il testatore medesimo il suo tutore, potrà la stessa persona designata come sostituto essere nominata tutore»</w:t>
      </w:r>
      <w:bookmarkStart w:id="5" w:name="_ftnref5"/>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"_ftn5"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 xml:space="preserve"> [5]</w:t>
      </w:r>
      <w:r w:rsidRPr="00497C4C">
        <w:rPr>
          <w:rFonts w:ascii="Times New Roman" w:eastAsia="Times New Roman" w:hAnsi="Times New Roman" w:cs="Times New Roman"/>
          <w:sz w:val="24"/>
          <w:szCs w:val="24"/>
          <w:lang w:eastAsia="it-IT"/>
        </w:rPr>
        <w:fldChar w:fldCharType="end"/>
      </w:r>
      <w:bookmarkEnd w:id="5"/>
      <w:r w:rsidRPr="00497C4C">
        <w:rPr>
          <w:rFonts w:ascii="Times New Roman" w:eastAsia="Times New Roman" w:hAnsi="Times New Roman" w:cs="Times New Roman"/>
          <w:sz w:val="24"/>
          <w:szCs w:val="24"/>
          <w:lang w:eastAsia="it-IT"/>
        </w:rPr>
        <w:t>.</w:t>
      </w:r>
    </w:p>
    <w:p w14:paraId="5E0BD27A"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xml:space="preserve">L’ultimo problema riguarda il concetto di “cura”. Secondo Attenta dottrina «nel concetto di cura va compresa non solo l’assistenza materiale (vitto, alloggio, cura mediche, ecc.), ma anche quella morale e spirituale. Anzi quest’ultima cura ha particolare rilevanza perché deve essere prestata direttamente dal sostituito, mentre quella materiale potrebbe, almeno in parte, essere attuata a mezzo di altre persone (si pensi ad una clinica priva, ad una casa di cura» </w:t>
      </w:r>
      <w:bookmarkStart w:id="6" w:name="_ftnref6"/>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"_ftn6"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[6]</w:t>
      </w:r>
      <w:r w:rsidRPr="00497C4C">
        <w:rPr>
          <w:rFonts w:ascii="Times New Roman" w:eastAsia="Times New Roman" w:hAnsi="Times New Roman" w:cs="Times New Roman"/>
          <w:sz w:val="24"/>
          <w:szCs w:val="24"/>
          <w:lang w:eastAsia="it-IT"/>
        </w:rPr>
        <w:fldChar w:fldCharType="end"/>
      </w:r>
      <w:bookmarkEnd w:id="6"/>
      <w:r w:rsidRPr="00497C4C">
        <w:rPr>
          <w:rFonts w:ascii="Times New Roman" w:eastAsia="Times New Roman" w:hAnsi="Times New Roman" w:cs="Times New Roman"/>
          <w:sz w:val="24"/>
          <w:szCs w:val="24"/>
          <w:lang w:eastAsia="it-IT"/>
        </w:rPr>
        <w:t xml:space="preserve">. In tal caso, il sostituito resta la persona fisica che nel provvedere alla cura di un infermo di mente si serve del trattamento di una clinica privata </w:t>
      </w:r>
      <w:bookmarkStart w:id="7" w:name="_ftnref7"/>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"_ftn7"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[7]</w:t>
      </w:r>
      <w:r w:rsidRPr="00497C4C">
        <w:rPr>
          <w:rFonts w:ascii="Times New Roman" w:eastAsia="Times New Roman" w:hAnsi="Times New Roman" w:cs="Times New Roman"/>
          <w:sz w:val="24"/>
          <w:szCs w:val="24"/>
          <w:lang w:eastAsia="it-IT"/>
        </w:rPr>
        <w:fldChar w:fldCharType="end"/>
      </w:r>
      <w:bookmarkEnd w:id="7"/>
      <w:r w:rsidRPr="00497C4C">
        <w:rPr>
          <w:rFonts w:ascii="Times New Roman" w:eastAsia="Times New Roman" w:hAnsi="Times New Roman" w:cs="Times New Roman"/>
          <w:sz w:val="24"/>
          <w:szCs w:val="24"/>
          <w:lang w:eastAsia="it-IT"/>
        </w:rPr>
        <w:t>.</w:t>
      </w:r>
    </w:p>
    <w:p w14:paraId="06967468"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Alla luce delle indicazioni fin qui emerse, laddove condivise, sembra ammissibile che il testatore possa indicare il sostituto prevedendo le attività nelle quali si sostanzi la cura di cui all’art. 692 c.c., la quale può, almeno in parte, essere attuata a mezzo di una clinica privata, quantomeno per tutte quelle esigenze e necessità a cui soltanto una struttura sanitaria può sopperire per il trattamento medico della persona interdetta.</w:t>
      </w:r>
    </w:p>
    <w:p w14:paraId="54FC6457"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xml:space="preserve">Si tratta di una scelta rimessa al prudente apprezzamento del notaio, analogamente a quella di ricevere, in alternativa, un </w:t>
      </w:r>
      <w:r w:rsidRPr="00497C4C">
        <w:rPr>
          <w:rFonts w:ascii="Times New Roman" w:eastAsia="Times New Roman" w:hAnsi="Times New Roman" w:cs="Times New Roman"/>
          <w:i/>
          <w:iCs/>
          <w:sz w:val="24"/>
          <w:szCs w:val="24"/>
          <w:lang w:eastAsia="it-IT"/>
        </w:rPr>
        <w:t>trust</w:t>
      </w:r>
      <w:r w:rsidRPr="00497C4C">
        <w:rPr>
          <w:rFonts w:ascii="Times New Roman" w:eastAsia="Times New Roman" w:hAnsi="Times New Roman" w:cs="Times New Roman"/>
          <w:sz w:val="24"/>
          <w:szCs w:val="24"/>
          <w:lang w:eastAsia="it-IT"/>
        </w:rPr>
        <w:t xml:space="preserve"> testamentario, alla luce della legge n. 112/16, che sembrerebbe poter consentire la stipula di un </w:t>
      </w:r>
      <w:r w:rsidRPr="00497C4C">
        <w:rPr>
          <w:rFonts w:ascii="Times New Roman" w:eastAsia="Times New Roman" w:hAnsi="Times New Roman" w:cs="Times New Roman"/>
          <w:i/>
          <w:iCs/>
          <w:sz w:val="24"/>
          <w:szCs w:val="24"/>
          <w:lang w:eastAsia="it-IT"/>
        </w:rPr>
        <w:t xml:space="preserve">trust </w:t>
      </w:r>
      <w:r w:rsidRPr="00497C4C">
        <w:rPr>
          <w:rFonts w:ascii="Times New Roman" w:eastAsia="Times New Roman" w:hAnsi="Times New Roman" w:cs="Times New Roman"/>
          <w:sz w:val="24"/>
          <w:szCs w:val="24"/>
          <w:lang w:eastAsia="it-IT"/>
        </w:rPr>
        <w:t xml:space="preserve">testamentario che preveda l'interdetto quale beneficiario e terzi quali beneficiari residuali </w:t>
      </w:r>
      <w:bookmarkStart w:id="8" w:name="_ftnref8"/>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"_ftn8"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[8]</w:t>
      </w:r>
      <w:r w:rsidRPr="00497C4C">
        <w:rPr>
          <w:rFonts w:ascii="Times New Roman" w:eastAsia="Times New Roman" w:hAnsi="Times New Roman" w:cs="Times New Roman"/>
          <w:sz w:val="24"/>
          <w:szCs w:val="24"/>
          <w:lang w:eastAsia="it-IT"/>
        </w:rPr>
        <w:fldChar w:fldCharType="end"/>
      </w:r>
      <w:bookmarkEnd w:id="8"/>
      <w:r w:rsidRPr="00497C4C">
        <w:rPr>
          <w:rFonts w:ascii="Times New Roman" w:eastAsia="Times New Roman" w:hAnsi="Times New Roman" w:cs="Times New Roman"/>
          <w:sz w:val="24"/>
          <w:szCs w:val="24"/>
          <w:lang w:eastAsia="it-IT"/>
        </w:rPr>
        <w:t>.</w:t>
      </w:r>
    </w:p>
    <w:p w14:paraId="71A23E09"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w:t>
      </w:r>
    </w:p>
    <w:p w14:paraId="7832D6B4"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_________________________________________</w:t>
      </w:r>
    </w:p>
    <w:bookmarkStart w:id="9" w:name="_ftn1"/>
    <w:p w14:paraId="5163A5E9"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"_ftnref1"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[1]</w:t>
      </w:r>
      <w:r w:rsidRPr="00497C4C">
        <w:rPr>
          <w:rFonts w:ascii="Times New Roman" w:eastAsia="Times New Roman" w:hAnsi="Times New Roman" w:cs="Times New Roman"/>
          <w:sz w:val="24"/>
          <w:szCs w:val="24"/>
          <w:lang w:eastAsia="it-IT"/>
        </w:rPr>
        <w:fldChar w:fldCharType="end"/>
      </w:r>
      <w:bookmarkEnd w:id="9"/>
      <w:r w:rsidRPr="00497C4C">
        <w:rPr>
          <w:rFonts w:ascii="Times New Roman" w:eastAsia="Times New Roman" w:hAnsi="Times New Roman" w:cs="Times New Roman"/>
          <w:sz w:val="24"/>
          <w:szCs w:val="24"/>
          <w:lang w:eastAsia="it-IT"/>
        </w:rPr>
        <w:t xml:space="preserve"> M. Talamanca, </w:t>
      </w:r>
      <w:r w:rsidRPr="00497C4C">
        <w:rPr>
          <w:rFonts w:ascii="Times New Roman" w:eastAsia="Times New Roman" w:hAnsi="Times New Roman" w:cs="Times New Roman"/>
          <w:i/>
          <w:iCs/>
          <w:sz w:val="24"/>
          <w:szCs w:val="24"/>
          <w:lang w:eastAsia="it-IT"/>
        </w:rPr>
        <w:t>Art. 692</w:t>
      </w:r>
      <w:r w:rsidRPr="00497C4C">
        <w:rPr>
          <w:rFonts w:ascii="Times New Roman" w:eastAsia="Times New Roman" w:hAnsi="Times New Roman" w:cs="Times New Roman"/>
          <w:sz w:val="24"/>
          <w:szCs w:val="24"/>
          <w:lang w:eastAsia="it-IT"/>
        </w:rPr>
        <w:t xml:space="preserve">, in </w:t>
      </w:r>
      <w:r w:rsidRPr="00497C4C">
        <w:rPr>
          <w:rFonts w:ascii="Times New Roman" w:eastAsia="Times New Roman" w:hAnsi="Times New Roman" w:cs="Times New Roman"/>
          <w:i/>
          <w:iCs/>
          <w:sz w:val="24"/>
          <w:szCs w:val="24"/>
          <w:lang w:eastAsia="it-IT"/>
        </w:rPr>
        <w:t>Comm. cod. civ</w:t>
      </w:r>
      <w:r w:rsidRPr="00497C4C">
        <w:rPr>
          <w:rFonts w:ascii="Times New Roman" w:eastAsia="Times New Roman" w:hAnsi="Times New Roman" w:cs="Times New Roman"/>
          <w:sz w:val="24"/>
          <w:szCs w:val="24"/>
          <w:lang w:eastAsia="it-IT"/>
        </w:rPr>
        <w:t xml:space="preserve">. Scialoja e Branca, </w:t>
      </w:r>
      <w:r w:rsidRPr="00497C4C">
        <w:rPr>
          <w:rFonts w:ascii="Times New Roman" w:eastAsia="Times New Roman" w:hAnsi="Times New Roman" w:cs="Times New Roman"/>
          <w:i/>
          <w:iCs/>
          <w:sz w:val="24"/>
          <w:szCs w:val="24"/>
          <w:lang w:eastAsia="it-IT"/>
        </w:rPr>
        <w:t>Aggiornamento sulla base della legge di riforma del diritto di famiglia</w:t>
      </w:r>
      <w:r w:rsidRPr="00497C4C">
        <w:rPr>
          <w:rFonts w:ascii="Times New Roman" w:eastAsia="Times New Roman" w:hAnsi="Times New Roman" w:cs="Times New Roman"/>
          <w:sz w:val="24"/>
          <w:szCs w:val="24"/>
          <w:lang w:eastAsia="it-IT"/>
        </w:rPr>
        <w:t xml:space="preserve">, Bologna-Roma, 1976, 57 s. Altra problema, risolto in termini dubitativi, è se la sostituzione fedecommissaria nulla perché formulata in uno di questi due modi possa convertirsi in una valida, laddove dal contesto possa presumersi che il testatore, a conoscenza </w:t>
      </w:r>
      <w:r w:rsidRPr="00497C4C">
        <w:rPr>
          <w:rFonts w:ascii="Times New Roman" w:eastAsia="Times New Roman" w:hAnsi="Times New Roman" w:cs="Times New Roman"/>
          <w:sz w:val="24"/>
          <w:szCs w:val="24"/>
          <w:lang w:eastAsia="it-IT"/>
        </w:rPr>
        <w:lastRenderedPageBreak/>
        <w:t>della nullità, avrebbe testato nel modo consentito dalla legge. In questa ottica, la designazione del sostituto fatta dal testatore dovrebbe considerarsi come non apposta, operando una specie di conversione legale a favore di incerta persona, in deroga all’art. 631 c.c.</w:t>
      </w:r>
    </w:p>
    <w:bookmarkStart w:id="10" w:name="_ftn2"/>
    <w:p w14:paraId="76E0B27C"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"_ftnref2"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[2]</w:t>
      </w:r>
      <w:r w:rsidRPr="00497C4C">
        <w:rPr>
          <w:rFonts w:ascii="Times New Roman" w:eastAsia="Times New Roman" w:hAnsi="Times New Roman" w:cs="Times New Roman"/>
          <w:sz w:val="24"/>
          <w:szCs w:val="24"/>
          <w:lang w:eastAsia="it-IT"/>
        </w:rPr>
        <w:fldChar w:fldCharType="end"/>
      </w:r>
      <w:bookmarkEnd w:id="10"/>
      <w:r w:rsidRPr="00497C4C">
        <w:rPr>
          <w:rFonts w:ascii="Times New Roman" w:eastAsia="Times New Roman" w:hAnsi="Times New Roman" w:cs="Times New Roman"/>
          <w:sz w:val="24"/>
          <w:szCs w:val="24"/>
          <w:lang w:eastAsia="it-IT"/>
        </w:rPr>
        <w:t xml:space="preserve"> M. Talamanca, </w:t>
      </w:r>
      <w:r w:rsidRPr="00497C4C">
        <w:rPr>
          <w:rFonts w:ascii="Times New Roman" w:eastAsia="Times New Roman" w:hAnsi="Times New Roman" w:cs="Times New Roman"/>
          <w:i/>
          <w:iCs/>
          <w:sz w:val="24"/>
          <w:szCs w:val="24"/>
          <w:lang w:eastAsia="it-IT"/>
        </w:rPr>
        <w:t>Art. 692</w:t>
      </w:r>
      <w:r w:rsidRPr="00497C4C">
        <w:rPr>
          <w:rFonts w:ascii="Times New Roman" w:eastAsia="Times New Roman" w:hAnsi="Times New Roman" w:cs="Times New Roman"/>
          <w:sz w:val="24"/>
          <w:szCs w:val="24"/>
          <w:lang w:eastAsia="it-IT"/>
        </w:rPr>
        <w:t xml:space="preserve">, cit., 58. Adesivo, M. Bernardini, </w:t>
      </w:r>
      <w:r w:rsidRPr="00497C4C">
        <w:rPr>
          <w:rFonts w:ascii="Times New Roman" w:eastAsia="Times New Roman" w:hAnsi="Times New Roman" w:cs="Times New Roman"/>
          <w:i/>
          <w:iCs/>
          <w:sz w:val="24"/>
          <w:szCs w:val="24"/>
          <w:lang w:eastAsia="it-IT"/>
        </w:rPr>
        <w:t>Sostituzione fedecommissaria</w:t>
      </w:r>
      <w:r w:rsidRPr="00497C4C">
        <w:rPr>
          <w:rFonts w:ascii="Times New Roman" w:eastAsia="Times New Roman" w:hAnsi="Times New Roman" w:cs="Times New Roman"/>
          <w:sz w:val="24"/>
          <w:szCs w:val="24"/>
          <w:lang w:eastAsia="it-IT"/>
        </w:rPr>
        <w:t xml:space="preserve">, in </w:t>
      </w:r>
      <w:r w:rsidRPr="00497C4C">
        <w:rPr>
          <w:rFonts w:ascii="Times New Roman" w:eastAsia="Times New Roman" w:hAnsi="Times New Roman" w:cs="Times New Roman"/>
          <w:i/>
          <w:iCs/>
          <w:sz w:val="24"/>
          <w:szCs w:val="24"/>
          <w:lang w:eastAsia="it-IT"/>
        </w:rPr>
        <w:t>Riv. not</w:t>
      </w:r>
      <w:r w:rsidRPr="00497C4C">
        <w:rPr>
          <w:rFonts w:ascii="Times New Roman" w:eastAsia="Times New Roman" w:hAnsi="Times New Roman" w:cs="Times New Roman"/>
          <w:sz w:val="24"/>
          <w:szCs w:val="24"/>
          <w:lang w:eastAsia="it-IT"/>
        </w:rPr>
        <w:t>. 1992, 1090.</w:t>
      </w:r>
    </w:p>
    <w:bookmarkStart w:id="11" w:name="_ftn3"/>
    <w:p w14:paraId="252C2CE5"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"_ftnref3"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[3]</w:t>
      </w:r>
      <w:r w:rsidRPr="00497C4C">
        <w:rPr>
          <w:rFonts w:ascii="Times New Roman" w:eastAsia="Times New Roman" w:hAnsi="Times New Roman" w:cs="Times New Roman"/>
          <w:sz w:val="24"/>
          <w:szCs w:val="24"/>
          <w:lang w:eastAsia="it-IT"/>
        </w:rPr>
        <w:fldChar w:fldCharType="end"/>
      </w:r>
      <w:bookmarkEnd w:id="11"/>
      <w:r w:rsidRPr="00497C4C">
        <w:rPr>
          <w:rFonts w:ascii="Times New Roman" w:eastAsia="Times New Roman" w:hAnsi="Times New Roman" w:cs="Times New Roman"/>
          <w:sz w:val="24"/>
          <w:szCs w:val="24"/>
          <w:lang w:eastAsia="it-IT"/>
        </w:rPr>
        <w:t xml:space="preserve"> F. Amato e G. Marinaro, </w:t>
      </w:r>
      <w:r w:rsidRPr="00497C4C">
        <w:rPr>
          <w:rFonts w:ascii="Times New Roman" w:eastAsia="Times New Roman" w:hAnsi="Times New Roman" w:cs="Times New Roman"/>
          <w:i/>
          <w:iCs/>
          <w:sz w:val="24"/>
          <w:szCs w:val="24"/>
          <w:lang w:eastAsia="it-IT"/>
        </w:rPr>
        <w:t>La nuova sostituzione fedecommissaria</w:t>
      </w:r>
      <w:r w:rsidRPr="00497C4C">
        <w:rPr>
          <w:rFonts w:ascii="Times New Roman" w:eastAsia="Times New Roman" w:hAnsi="Times New Roman" w:cs="Times New Roman"/>
          <w:sz w:val="24"/>
          <w:szCs w:val="24"/>
          <w:lang w:eastAsia="it-IT"/>
        </w:rPr>
        <w:t>, Camerino, 1979, 46 s. Ivi per la dottrina richiamata.</w:t>
      </w:r>
    </w:p>
    <w:bookmarkStart w:id="12" w:name="_ftn4"/>
    <w:p w14:paraId="2AC30BC2"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"_ftnref4"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[4]</w:t>
      </w:r>
      <w:r w:rsidRPr="00497C4C">
        <w:rPr>
          <w:rFonts w:ascii="Times New Roman" w:eastAsia="Times New Roman" w:hAnsi="Times New Roman" w:cs="Times New Roman"/>
          <w:sz w:val="24"/>
          <w:szCs w:val="24"/>
          <w:lang w:eastAsia="it-IT"/>
        </w:rPr>
        <w:fldChar w:fldCharType="end"/>
      </w:r>
      <w:bookmarkEnd w:id="12"/>
      <w:r w:rsidRPr="00497C4C">
        <w:rPr>
          <w:rFonts w:ascii="Times New Roman" w:eastAsia="Times New Roman" w:hAnsi="Times New Roman" w:cs="Times New Roman"/>
          <w:sz w:val="24"/>
          <w:szCs w:val="24"/>
          <w:lang w:eastAsia="it-IT"/>
        </w:rPr>
        <w:t xml:space="preserve"> G. Marinaro, </w:t>
      </w:r>
      <w:r w:rsidRPr="00497C4C">
        <w:rPr>
          <w:rFonts w:ascii="Times New Roman" w:eastAsia="Times New Roman" w:hAnsi="Times New Roman" w:cs="Times New Roman"/>
          <w:i/>
          <w:iCs/>
          <w:sz w:val="24"/>
          <w:szCs w:val="24"/>
          <w:lang w:eastAsia="it-IT"/>
        </w:rPr>
        <w:t>Art. 692</w:t>
      </w:r>
      <w:r w:rsidRPr="00497C4C">
        <w:rPr>
          <w:rFonts w:ascii="Times New Roman" w:eastAsia="Times New Roman" w:hAnsi="Times New Roman" w:cs="Times New Roman"/>
          <w:sz w:val="24"/>
          <w:szCs w:val="24"/>
          <w:lang w:eastAsia="it-IT"/>
        </w:rPr>
        <w:t xml:space="preserve">, in </w:t>
      </w:r>
      <w:r w:rsidRPr="00497C4C">
        <w:rPr>
          <w:rFonts w:ascii="Times New Roman" w:eastAsia="Times New Roman" w:hAnsi="Times New Roman" w:cs="Times New Roman"/>
          <w:i/>
          <w:iCs/>
          <w:sz w:val="24"/>
          <w:szCs w:val="24"/>
          <w:lang w:eastAsia="it-IT"/>
        </w:rPr>
        <w:t>Codice civile annotato con la dottrina e la giurisprudenza</w:t>
      </w:r>
      <w:r w:rsidRPr="00497C4C">
        <w:rPr>
          <w:rFonts w:ascii="Times New Roman" w:eastAsia="Times New Roman" w:hAnsi="Times New Roman" w:cs="Times New Roman"/>
          <w:sz w:val="24"/>
          <w:szCs w:val="24"/>
          <w:lang w:eastAsia="it-IT"/>
        </w:rPr>
        <w:t xml:space="preserve"> Perlingieri, Napoli, Roma, Benevento, 1991, 517. Ivi per la dottrina richiamata. Così, fra gli altri, G. Benedetti, </w:t>
      </w:r>
      <w:r w:rsidRPr="00497C4C">
        <w:rPr>
          <w:rFonts w:ascii="Times New Roman" w:eastAsia="Times New Roman" w:hAnsi="Times New Roman" w:cs="Times New Roman"/>
          <w:i/>
          <w:iCs/>
          <w:sz w:val="24"/>
          <w:szCs w:val="24"/>
          <w:lang w:eastAsia="it-IT"/>
        </w:rPr>
        <w:t>Art. 197</w:t>
      </w:r>
      <w:r w:rsidRPr="00497C4C">
        <w:rPr>
          <w:rFonts w:ascii="Times New Roman" w:eastAsia="Times New Roman" w:hAnsi="Times New Roman" w:cs="Times New Roman"/>
          <w:sz w:val="24"/>
          <w:szCs w:val="24"/>
          <w:lang w:eastAsia="it-IT"/>
        </w:rPr>
        <w:t xml:space="preserve">, in </w:t>
      </w:r>
      <w:r w:rsidRPr="00497C4C">
        <w:rPr>
          <w:rFonts w:ascii="Times New Roman" w:eastAsia="Times New Roman" w:hAnsi="Times New Roman" w:cs="Times New Roman"/>
          <w:i/>
          <w:iCs/>
          <w:sz w:val="24"/>
          <w:szCs w:val="24"/>
          <w:lang w:eastAsia="it-IT"/>
        </w:rPr>
        <w:t>Commentario alla riforma del diritto di famiglia</w:t>
      </w:r>
      <w:r w:rsidRPr="00497C4C">
        <w:rPr>
          <w:rFonts w:ascii="Times New Roman" w:eastAsia="Times New Roman" w:hAnsi="Times New Roman" w:cs="Times New Roman"/>
          <w:sz w:val="24"/>
          <w:szCs w:val="24"/>
          <w:lang w:eastAsia="it-IT"/>
        </w:rPr>
        <w:t>, tomo I, parte II, Padova, 1977, 892: «La conclusione negativa affatto, seppure non priva di argomenti, non può essere condivisa. Nulla induce a ritenere mortificata fino a questo segno l’autonomia privata, della quale, invece, l’istituto, con tutti i suoi limiti, rappresenta ancora un’estrema affermazione. L’interpretazione della previsione relativa al sostituto va certamente operata alla luce della nuova ratio, la quale, se esclude che possa trovare comunque rilievo l’interesse, che prima la caratterizzava, della conservazione e concentrazione del patrimonio della famiglia, non giunge a negare un qualche spazio alla libera determinazione del disponente, in quanto essa si cali esattamente nell’alveo dell’interesse cui il nuovo istituto si ispira, cioè la tutela dell’incapace».</w:t>
      </w:r>
    </w:p>
    <w:p w14:paraId="17A6DEA8"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t xml:space="preserve"> Diversamente, A. e M. Finocchiaro, </w:t>
      </w:r>
      <w:r w:rsidRPr="00497C4C">
        <w:rPr>
          <w:rFonts w:ascii="Times New Roman" w:eastAsia="Times New Roman" w:hAnsi="Times New Roman" w:cs="Times New Roman"/>
          <w:i/>
          <w:iCs/>
          <w:sz w:val="24"/>
          <w:szCs w:val="24"/>
          <w:lang w:eastAsia="it-IT"/>
        </w:rPr>
        <w:t>Diritto di famiglia</w:t>
      </w:r>
      <w:r w:rsidRPr="00497C4C">
        <w:rPr>
          <w:rFonts w:ascii="Times New Roman" w:eastAsia="Times New Roman" w:hAnsi="Times New Roman" w:cs="Times New Roman"/>
          <w:sz w:val="24"/>
          <w:szCs w:val="24"/>
          <w:lang w:eastAsia="it-IT"/>
        </w:rPr>
        <w:t>, II, 2386 per il quale il tutore per svolgere attività di assistenza deve rinunziare al suo ufficio.</w:t>
      </w:r>
    </w:p>
    <w:bookmarkStart w:id="13" w:name="_ftn5"/>
    <w:p w14:paraId="77B889F3"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"_ftnref5"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[5]</w:t>
      </w:r>
      <w:r w:rsidRPr="00497C4C">
        <w:rPr>
          <w:rFonts w:ascii="Times New Roman" w:eastAsia="Times New Roman" w:hAnsi="Times New Roman" w:cs="Times New Roman"/>
          <w:sz w:val="24"/>
          <w:szCs w:val="24"/>
          <w:lang w:eastAsia="it-IT"/>
        </w:rPr>
        <w:fldChar w:fldCharType="end"/>
      </w:r>
      <w:bookmarkEnd w:id="13"/>
      <w:r w:rsidRPr="00497C4C">
        <w:rPr>
          <w:rFonts w:ascii="Times New Roman" w:eastAsia="Times New Roman" w:hAnsi="Times New Roman" w:cs="Times New Roman"/>
          <w:sz w:val="24"/>
          <w:szCs w:val="24"/>
          <w:lang w:eastAsia="it-IT"/>
        </w:rPr>
        <w:t xml:space="preserve"> F. Amato e G. Marinaro, </w:t>
      </w:r>
      <w:r w:rsidRPr="00497C4C">
        <w:rPr>
          <w:rFonts w:ascii="Times New Roman" w:eastAsia="Times New Roman" w:hAnsi="Times New Roman" w:cs="Times New Roman"/>
          <w:i/>
          <w:iCs/>
          <w:sz w:val="24"/>
          <w:szCs w:val="24"/>
          <w:lang w:eastAsia="it-IT"/>
        </w:rPr>
        <w:t>La nuova sostituzione fedecommissaria</w:t>
      </w:r>
      <w:r w:rsidRPr="00497C4C">
        <w:rPr>
          <w:rFonts w:ascii="Times New Roman" w:eastAsia="Times New Roman" w:hAnsi="Times New Roman" w:cs="Times New Roman"/>
          <w:sz w:val="24"/>
          <w:szCs w:val="24"/>
          <w:lang w:eastAsia="it-IT"/>
        </w:rPr>
        <w:t xml:space="preserve">, Camerino, 1979, 49. Così, fra gli altri, G. Benedetti, </w:t>
      </w:r>
      <w:r w:rsidRPr="00497C4C">
        <w:rPr>
          <w:rFonts w:ascii="Times New Roman" w:eastAsia="Times New Roman" w:hAnsi="Times New Roman" w:cs="Times New Roman"/>
          <w:i/>
          <w:iCs/>
          <w:sz w:val="24"/>
          <w:szCs w:val="24"/>
          <w:lang w:eastAsia="it-IT"/>
        </w:rPr>
        <w:t>Art. 197</w:t>
      </w:r>
      <w:r w:rsidRPr="00497C4C">
        <w:rPr>
          <w:rFonts w:ascii="Times New Roman" w:eastAsia="Times New Roman" w:hAnsi="Times New Roman" w:cs="Times New Roman"/>
          <w:sz w:val="24"/>
          <w:szCs w:val="24"/>
          <w:lang w:eastAsia="it-IT"/>
        </w:rPr>
        <w:t xml:space="preserve">, in </w:t>
      </w:r>
      <w:r w:rsidRPr="00497C4C">
        <w:rPr>
          <w:rFonts w:ascii="Times New Roman" w:eastAsia="Times New Roman" w:hAnsi="Times New Roman" w:cs="Times New Roman"/>
          <w:i/>
          <w:iCs/>
          <w:sz w:val="24"/>
          <w:szCs w:val="24"/>
          <w:lang w:eastAsia="it-IT"/>
        </w:rPr>
        <w:t>Commentario alla riforma del diritto di famiglia</w:t>
      </w:r>
      <w:r w:rsidRPr="00497C4C">
        <w:rPr>
          <w:rFonts w:ascii="Times New Roman" w:eastAsia="Times New Roman" w:hAnsi="Times New Roman" w:cs="Times New Roman"/>
          <w:sz w:val="24"/>
          <w:szCs w:val="24"/>
          <w:lang w:eastAsia="it-IT"/>
        </w:rPr>
        <w:t>, tomo I, parte II, Padova, 1977, 893: «Questa distinzione, se esclude che la legge identifichi la cura dell’incapace con l’attività istituzionale del tutore, non esclude tuttavia che in concreto essa possa essere apprestata da questi. Che perciò potrà beneficiare dell’effetto sostitutivo. La singolare circostanza della coincidenza nella stessa persona delle due funzioni, una delle quali la legge espressamente sottopone alla vigilanza dell’altra, anche se non determina in linea di principio incompatibilità, impone tuttavia maggiori cautele. Il vario articolarsi degli interessi in concreto potrà creare conflitto tra gli stessi, ma sono già nell’ordinamento i criteri per risolverlo. E si dovrà, nella dicotomia delle discipline del fedecommesso e della tutela, accordare prevalenza a quest’ultima, perché poziore».</w:t>
      </w:r>
    </w:p>
    <w:bookmarkStart w:id="14" w:name="_ftn6"/>
    <w:p w14:paraId="7D9134F2"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"_ftnref6"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[6]</w:t>
      </w:r>
      <w:r w:rsidRPr="00497C4C">
        <w:rPr>
          <w:rFonts w:ascii="Times New Roman" w:eastAsia="Times New Roman" w:hAnsi="Times New Roman" w:cs="Times New Roman"/>
          <w:sz w:val="24"/>
          <w:szCs w:val="24"/>
          <w:lang w:eastAsia="it-IT"/>
        </w:rPr>
        <w:fldChar w:fldCharType="end"/>
      </w:r>
      <w:bookmarkEnd w:id="14"/>
      <w:r w:rsidRPr="00497C4C">
        <w:rPr>
          <w:rFonts w:ascii="Times New Roman" w:eastAsia="Times New Roman" w:hAnsi="Times New Roman" w:cs="Times New Roman"/>
          <w:sz w:val="24"/>
          <w:szCs w:val="24"/>
          <w:lang w:eastAsia="it-IT"/>
        </w:rPr>
        <w:t xml:space="preserve"> G. Capozzi, </w:t>
      </w:r>
      <w:r w:rsidRPr="00497C4C">
        <w:rPr>
          <w:rFonts w:ascii="Times New Roman" w:eastAsia="Times New Roman" w:hAnsi="Times New Roman" w:cs="Times New Roman"/>
          <w:i/>
          <w:iCs/>
          <w:sz w:val="24"/>
          <w:szCs w:val="24"/>
          <w:lang w:eastAsia="it-IT"/>
        </w:rPr>
        <w:t>Successioni e donazioni</w:t>
      </w:r>
      <w:r w:rsidRPr="00497C4C">
        <w:rPr>
          <w:rFonts w:ascii="Times New Roman" w:eastAsia="Times New Roman" w:hAnsi="Times New Roman" w:cs="Times New Roman"/>
          <w:sz w:val="24"/>
          <w:szCs w:val="24"/>
          <w:lang w:eastAsia="it-IT"/>
        </w:rPr>
        <w:t>, Milano, 2015, 1039.</w:t>
      </w:r>
    </w:p>
    <w:bookmarkStart w:id="15" w:name="_ftn7"/>
    <w:p w14:paraId="46A929EA"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"_ftnref7"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[7]</w:t>
      </w:r>
      <w:r w:rsidRPr="00497C4C">
        <w:rPr>
          <w:rFonts w:ascii="Times New Roman" w:eastAsia="Times New Roman" w:hAnsi="Times New Roman" w:cs="Times New Roman"/>
          <w:sz w:val="24"/>
          <w:szCs w:val="24"/>
          <w:lang w:eastAsia="it-IT"/>
        </w:rPr>
        <w:fldChar w:fldCharType="end"/>
      </w:r>
      <w:bookmarkEnd w:id="15"/>
      <w:r w:rsidRPr="00497C4C">
        <w:rPr>
          <w:rFonts w:ascii="Times New Roman" w:eastAsia="Times New Roman" w:hAnsi="Times New Roman" w:cs="Times New Roman"/>
          <w:sz w:val="24"/>
          <w:szCs w:val="24"/>
          <w:lang w:eastAsia="it-IT"/>
        </w:rPr>
        <w:t xml:space="preserve"> Sulle questioni relative alla ipotesi in cui, in alternativa alla persona fisica, il sostituito sia determinato in un ente, cfr. diverse posizioni in M. Talamanca, </w:t>
      </w:r>
      <w:r w:rsidRPr="00497C4C">
        <w:rPr>
          <w:rFonts w:ascii="Times New Roman" w:eastAsia="Times New Roman" w:hAnsi="Times New Roman" w:cs="Times New Roman"/>
          <w:i/>
          <w:iCs/>
          <w:sz w:val="24"/>
          <w:szCs w:val="24"/>
          <w:lang w:eastAsia="it-IT"/>
        </w:rPr>
        <w:t>Art. 692</w:t>
      </w:r>
      <w:r w:rsidRPr="00497C4C">
        <w:rPr>
          <w:rFonts w:ascii="Times New Roman" w:eastAsia="Times New Roman" w:hAnsi="Times New Roman" w:cs="Times New Roman"/>
          <w:sz w:val="24"/>
          <w:szCs w:val="24"/>
          <w:lang w:eastAsia="it-IT"/>
        </w:rPr>
        <w:t xml:space="preserve">, cit.; G. Benedetti, </w:t>
      </w:r>
      <w:r w:rsidRPr="00497C4C">
        <w:rPr>
          <w:rFonts w:ascii="Times New Roman" w:eastAsia="Times New Roman" w:hAnsi="Times New Roman" w:cs="Times New Roman"/>
          <w:i/>
          <w:iCs/>
          <w:sz w:val="24"/>
          <w:szCs w:val="24"/>
          <w:lang w:eastAsia="it-IT"/>
        </w:rPr>
        <w:t>Art. 197</w:t>
      </w:r>
      <w:r w:rsidRPr="00497C4C">
        <w:rPr>
          <w:rFonts w:ascii="Times New Roman" w:eastAsia="Times New Roman" w:hAnsi="Times New Roman" w:cs="Times New Roman"/>
          <w:sz w:val="24"/>
          <w:szCs w:val="24"/>
          <w:lang w:eastAsia="it-IT"/>
        </w:rPr>
        <w:t xml:space="preserve">, in </w:t>
      </w:r>
      <w:r w:rsidRPr="00497C4C">
        <w:rPr>
          <w:rFonts w:ascii="Times New Roman" w:eastAsia="Times New Roman" w:hAnsi="Times New Roman" w:cs="Times New Roman"/>
          <w:i/>
          <w:iCs/>
          <w:sz w:val="24"/>
          <w:szCs w:val="24"/>
          <w:lang w:eastAsia="it-IT"/>
        </w:rPr>
        <w:t>Commentario alla riforma del diritto di famiglia</w:t>
      </w:r>
      <w:r w:rsidRPr="00497C4C">
        <w:rPr>
          <w:rFonts w:ascii="Times New Roman" w:eastAsia="Times New Roman" w:hAnsi="Times New Roman" w:cs="Times New Roman"/>
          <w:sz w:val="24"/>
          <w:szCs w:val="24"/>
          <w:lang w:eastAsia="it-IT"/>
        </w:rPr>
        <w:t>, tomo I, parte II, Padova, 1977, 894.</w:t>
      </w:r>
    </w:p>
    <w:bookmarkStart w:id="16" w:name="_ftn8"/>
    <w:p w14:paraId="62B9D58A" w14:textId="77777777" w:rsidR="00497C4C" w:rsidRPr="00497C4C" w:rsidRDefault="00497C4C" w:rsidP="00497C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97C4C">
        <w:rPr>
          <w:rFonts w:ascii="Times New Roman" w:eastAsia="Times New Roman" w:hAnsi="Times New Roman" w:cs="Times New Roman"/>
          <w:sz w:val="24"/>
          <w:szCs w:val="24"/>
          <w:lang w:eastAsia="it-IT"/>
        </w:rPr>
        <w:fldChar w:fldCharType="begin"/>
      </w:r>
      <w:r w:rsidRPr="00497C4C">
        <w:rPr>
          <w:rFonts w:ascii="Times New Roman" w:eastAsia="Times New Roman" w:hAnsi="Times New Roman" w:cs="Times New Roman"/>
          <w:sz w:val="24"/>
          <w:szCs w:val="24"/>
          <w:lang w:eastAsia="it-IT"/>
        </w:rPr>
        <w:instrText xml:space="preserve"> HYPERLINK "https://webrun.notariato.it/CNNNotizie/webcnn/contenuti/settoreStudi/quesitiMateriali/civilistici/QC_87_2018C_musto.html?anno=2019&amp;numero=15&amp;data=25%20gennaio%202019&amp;m=Settore%20Studi&amp;s=Quesiti%20e%20materiali&amp;ss=Civilistici" \l "_ftnref8" </w:instrText>
      </w:r>
      <w:r w:rsidRPr="00497C4C">
        <w:rPr>
          <w:rFonts w:ascii="Times New Roman" w:eastAsia="Times New Roman" w:hAnsi="Times New Roman" w:cs="Times New Roman"/>
          <w:sz w:val="24"/>
          <w:szCs w:val="24"/>
          <w:lang w:eastAsia="it-IT"/>
        </w:rPr>
        <w:fldChar w:fldCharType="separate"/>
      </w:r>
      <w:r w:rsidRPr="00497C4C">
        <w:rPr>
          <w:rFonts w:ascii="Times New Roman" w:eastAsia="Times New Roman" w:hAnsi="Times New Roman" w:cs="Times New Roman"/>
          <w:color w:val="0000FF"/>
          <w:sz w:val="24"/>
          <w:szCs w:val="24"/>
          <w:u w:val="single"/>
          <w:lang w:eastAsia="it-IT"/>
        </w:rPr>
        <w:t>[8]</w:t>
      </w:r>
      <w:r w:rsidRPr="00497C4C">
        <w:rPr>
          <w:rFonts w:ascii="Times New Roman" w:eastAsia="Times New Roman" w:hAnsi="Times New Roman" w:cs="Times New Roman"/>
          <w:sz w:val="24"/>
          <w:szCs w:val="24"/>
          <w:lang w:eastAsia="it-IT"/>
        </w:rPr>
        <w:fldChar w:fldCharType="end"/>
      </w:r>
      <w:bookmarkEnd w:id="16"/>
      <w:r w:rsidRPr="00497C4C">
        <w:rPr>
          <w:rFonts w:ascii="Times New Roman" w:eastAsia="Times New Roman" w:hAnsi="Times New Roman" w:cs="Times New Roman"/>
          <w:sz w:val="24"/>
          <w:szCs w:val="24"/>
          <w:lang w:eastAsia="it-IT"/>
        </w:rPr>
        <w:t xml:space="preserve"> Per una utile e corretta qualificazione del ruolo dei protagonisti di un siffatto programma negoziale (</w:t>
      </w:r>
      <w:r w:rsidRPr="00497C4C">
        <w:rPr>
          <w:rFonts w:ascii="Times New Roman" w:eastAsia="Times New Roman" w:hAnsi="Times New Roman" w:cs="Times New Roman"/>
          <w:i/>
          <w:iCs/>
          <w:sz w:val="24"/>
          <w:szCs w:val="24"/>
          <w:lang w:eastAsia="it-IT"/>
        </w:rPr>
        <w:t>trustee</w:t>
      </w:r>
      <w:r w:rsidRPr="00497C4C">
        <w:rPr>
          <w:rFonts w:ascii="Times New Roman" w:eastAsia="Times New Roman" w:hAnsi="Times New Roman" w:cs="Times New Roman"/>
          <w:sz w:val="24"/>
          <w:szCs w:val="24"/>
          <w:lang w:eastAsia="it-IT"/>
        </w:rPr>
        <w:t xml:space="preserve">, gestore, beneficiario di reddito, beneficiario finale), e per una valutazione di compatibilità con i principi inderogabili della materia successoria, si rinvia ad. A.C. Di Landro, </w:t>
      </w:r>
      <w:r w:rsidRPr="00497C4C">
        <w:rPr>
          <w:rFonts w:ascii="Times New Roman" w:eastAsia="Times New Roman" w:hAnsi="Times New Roman" w:cs="Times New Roman"/>
          <w:i/>
          <w:iCs/>
          <w:sz w:val="24"/>
          <w:szCs w:val="24"/>
          <w:lang w:eastAsia="it-IT"/>
        </w:rPr>
        <w:t>La destinazione patrimoniale a tutela dei soggetti deboli. riflessioni sulla l. 22 giugno 2016, n. 112, in favore delle persone con disabilità grave</w:t>
      </w:r>
      <w:r w:rsidRPr="00497C4C">
        <w:rPr>
          <w:rFonts w:ascii="Times New Roman" w:eastAsia="Times New Roman" w:hAnsi="Times New Roman" w:cs="Times New Roman"/>
          <w:sz w:val="24"/>
          <w:szCs w:val="24"/>
          <w:lang w:eastAsia="it-IT"/>
        </w:rPr>
        <w:t xml:space="preserve">, in </w:t>
      </w:r>
      <w:r w:rsidRPr="00497C4C">
        <w:rPr>
          <w:rFonts w:ascii="Times New Roman" w:eastAsia="Times New Roman" w:hAnsi="Times New Roman" w:cs="Times New Roman"/>
          <w:i/>
          <w:iCs/>
          <w:sz w:val="24"/>
          <w:szCs w:val="24"/>
          <w:lang w:eastAsia="it-IT"/>
        </w:rPr>
        <w:t>Nuove Leggi Civ. Comm</w:t>
      </w:r>
      <w:r w:rsidRPr="00497C4C">
        <w:rPr>
          <w:rFonts w:ascii="Times New Roman" w:eastAsia="Times New Roman" w:hAnsi="Times New Roman" w:cs="Times New Roman"/>
          <w:sz w:val="24"/>
          <w:szCs w:val="24"/>
          <w:lang w:eastAsia="it-IT"/>
        </w:rPr>
        <w:t xml:space="preserve">., 2017, 1, 47. Per ulteriori approfondimenti sul rapporto tra </w:t>
      </w:r>
      <w:r w:rsidRPr="00497C4C">
        <w:rPr>
          <w:rFonts w:ascii="Times New Roman" w:eastAsia="Times New Roman" w:hAnsi="Times New Roman" w:cs="Times New Roman"/>
          <w:i/>
          <w:iCs/>
          <w:sz w:val="24"/>
          <w:szCs w:val="24"/>
          <w:lang w:eastAsia="it-IT"/>
        </w:rPr>
        <w:t>trust</w:t>
      </w:r>
      <w:r w:rsidRPr="00497C4C">
        <w:rPr>
          <w:rFonts w:ascii="Times New Roman" w:eastAsia="Times New Roman" w:hAnsi="Times New Roman" w:cs="Times New Roman"/>
          <w:sz w:val="24"/>
          <w:szCs w:val="24"/>
          <w:lang w:eastAsia="it-IT"/>
        </w:rPr>
        <w:t xml:space="preserve"> e norme dell'ordinamento italiano, si rinvia a tutte le implicazioni evidenziate in S. Bartoli, D. Muritano e C. Romani, Trust </w:t>
      </w:r>
      <w:r w:rsidRPr="00497C4C">
        <w:rPr>
          <w:rFonts w:ascii="Times New Roman" w:eastAsia="Times New Roman" w:hAnsi="Times New Roman" w:cs="Times New Roman"/>
          <w:i/>
          <w:iCs/>
          <w:sz w:val="24"/>
          <w:szCs w:val="24"/>
          <w:lang w:eastAsia="it-IT"/>
        </w:rPr>
        <w:t>e atto di destinazione nelle successioni e donazioni</w:t>
      </w:r>
      <w:r w:rsidRPr="00497C4C">
        <w:rPr>
          <w:rFonts w:ascii="Times New Roman" w:eastAsia="Times New Roman" w:hAnsi="Times New Roman" w:cs="Times New Roman"/>
          <w:sz w:val="24"/>
          <w:szCs w:val="24"/>
          <w:lang w:eastAsia="it-IT"/>
        </w:rPr>
        <w:t xml:space="preserve">, Milano, 2014, spec. p. 227 e ss. con riferimento alle differenze con il divieto di sostituzione fedecommissaria, e spec. 258 con riferimento all’art. 549 c.c. Per spunti, C. Romano, </w:t>
      </w:r>
      <w:r w:rsidRPr="00497C4C">
        <w:rPr>
          <w:rFonts w:ascii="Times New Roman" w:eastAsia="Times New Roman" w:hAnsi="Times New Roman" w:cs="Times New Roman"/>
          <w:i/>
          <w:iCs/>
          <w:sz w:val="24"/>
          <w:szCs w:val="24"/>
          <w:lang w:eastAsia="it-IT"/>
        </w:rPr>
        <w:t xml:space="preserve">Gli effetti del </w:t>
      </w:r>
      <w:r w:rsidRPr="00497C4C">
        <w:rPr>
          <w:rFonts w:ascii="Times New Roman" w:eastAsia="Times New Roman" w:hAnsi="Times New Roman" w:cs="Times New Roman"/>
          <w:i/>
          <w:iCs/>
          <w:sz w:val="24"/>
          <w:szCs w:val="24"/>
          <w:lang w:eastAsia="it-IT"/>
        </w:rPr>
        <w:lastRenderedPageBreak/>
        <w:t>trust oltre la morte del disponente: dal trust in funzione successoria al trust testamentario</w:t>
      </w:r>
      <w:r w:rsidRPr="00497C4C">
        <w:rPr>
          <w:rFonts w:ascii="Times New Roman" w:eastAsia="Times New Roman" w:hAnsi="Times New Roman" w:cs="Times New Roman"/>
          <w:sz w:val="24"/>
          <w:szCs w:val="24"/>
          <w:lang w:eastAsia="it-IT"/>
        </w:rPr>
        <w:t xml:space="preserve">, in </w:t>
      </w:r>
      <w:r w:rsidRPr="00497C4C">
        <w:rPr>
          <w:rFonts w:ascii="Times New Roman" w:eastAsia="Times New Roman" w:hAnsi="Times New Roman" w:cs="Times New Roman"/>
          <w:i/>
          <w:iCs/>
          <w:sz w:val="24"/>
          <w:szCs w:val="24"/>
          <w:lang w:eastAsia="it-IT"/>
        </w:rPr>
        <w:t>Notariato</w:t>
      </w:r>
      <w:r w:rsidRPr="00497C4C">
        <w:rPr>
          <w:rFonts w:ascii="Times New Roman" w:eastAsia="Times New Roman" w:hAnsi="Times New Roman" w:cs="Times New Roman"/>
          <w:sz w:val="24"/>
          <w:szCs w:val="24"/>
          <w:lang w:eastAsia="it-IT"/>
        </w:rPr>
        <w:t xml:space="preserve">, 2014, p. 593 ss., spec. 608; mentre per i rischi di lesione di legittima, cfr. almeno S. D. Puggioni, </w:t>
      </w:r>
      <w:r w:rsidRPr="00497C4C">
        <w:rPr>
          <w:rFonts w:ascii="Times New Roman" w:eastAsia="Times New Roman" w:hAnsi="Times New Roman" w:cs="Times New Roman"/>
          <w:i/>
          <w:iCs/>
          <w:sz w:val="24"/>
          <w:szCs w:val="24"/>
          <w:lang w:eastAsia="it-IT"/>
        </w:rPr>
        <w:t>Lesione di legittima e trust statunitense</w:t>
      </w:r>
      <w:r w:rsidRPr="00497C4C">
        <w:rPr>
          <w:rFonts w:ascii="Times New Roman" w:eastAsia="Times New Roman" w:hAnsi="Times New Roman" w:cs="Times New Roman"/>
          <w:sz w:val="24"/>
          <w:szCs w:val="24"/>
          <w:lang w:eastAsia="it-IT"/>
        </w:rPr>
        <w:t>, in Trusts, 2018, 1, 9.</w:t>
      </w:r>
    </w:p>
    <w:p w14:paraId="0E41FFAE" w14:textId="77777777" w:rsidR="00497C4C" w:rsidRPr="00497C4C" w:rsidRDefault="00497C4C" w:rsidP="00497C4C">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497C4C">
        <w:rPr>
          <w:rFonts w:ascii="Times New Roman" w:eastAsia="Times New Roman" w:hAnsi="Times New Roman" w:cs="Times New Roman"/>
          <w:b/>
          <w:bCs/>
          <w:sz w:val="24"/>
          <w:szCs w:val="24"/>
          <w:lang w:eastAsia="it-IT"/>
        </w:rPr>
        <w:t>Antonio Musto</w:t>
      </w:r>
    </w:p>
    <w:p w14:paraId="14FA62F2" w14:textId="77777777" w:rsidR="00BB4304" w:rsidRDefault="00BB4304"/>
    <w:sectPr w:rsidR="00BB43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33208"/>
    <w:multiLevelType w:val="multilevel"/>
    <w:tmpl w:val="3410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4C"/>
    <w:rsid w:val="00497C4C"/>
    <w:rsid w:val="00BB43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BF78"/>
  <w15:chartTrackingRefBased/>
  <w15:docId w15:val="{518C4414-083B-484F-B4CE-12FF428F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497C4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97C4C"/>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497C4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97C4C"/>
    <w:rPr>
      <w:i/>
      <w:iCs/>
    </w:rPr>
  </w:style>
  <w:style w:type="character" w:styleId="Collegamentoipertestuale">
    <w:name w:val="Hyperlink"/>
    <w:basedOn w:val="Carpredefinitoparagrafo"/>
    <w:uiPriority w:val="99"/>
    <w:semiHidden/>
    <w:unhideWhenUsed/>
    <w:rsid w:val="00497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7553">
      <w:bodyDiv w:val="1"/>
      <w:marLeft w:val="0"/>
      <w:marRight w:val="0"/>
      <w:marTop w:val="0"/>
      <w:marBottom w:val="0"/>
      <w:divBdr>
        <w:top w:val="none" w:sz="0" w:space="0" w:color="auto"/>
        <w:left w:val="none" w:sz="0" w:space="0" w:color="auto"/>
        <w:bottom w:val="none" w:sz="0" w:space="0" w:color="auto"/>
        <w:right w:val="none" w:sz="0" w:space="0" w:color="auto"/>
      </w:divBdr>
      <w:divsChild>
        <w:div w:id="2048990786">
          <w:marLeft w:val="0"/>
          <w:marRight w:val="0"/>
          <w:marTop w:val="0"/>
          <w:marBottom w:val="0"/>
          <w:divBdr>
            <w:top w:val="none" w:sz="0" w:space="0" w:color="auto"/>
            <w:left w:val="none" w:sz="0" w:space="0" w:color="auto"/>
            <w:bottom w:val="none" w:sz="0" w:space="0" w:color="auto"/>
            <w:right w:val="none" w:sz="0" w:space="0" w:color="auto"/>
          </w:divBdr>
        </w:div>
        <w:div w:id="1683312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2255</Words>
  <Characters>12858</Characters>
  <Application>Microsoft Office Word</Application>
  <DocSecurity>0</DocSecurity>
  <Lines>107</Lines>
  <Paragraphs>30</Paragraphs>
  <ScaleCrop>false</ScaleCrop>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2019-01-26T18:04:00Z</dcterms:created>
  <dcterms:modified xsi:type="dcterms:W3CDTF">2019-01-26T18:05:00Z</dcterms:modified>
</cp:coreProperties>
</file>