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D4" w:rsidRPr="001E0E93" w:rsidRDefault="00FF3AD4" w:rsidP="00FF3AD4">
      <w:pPr>
        <w:widowControl w:val="0"/>
        <w:tabs>
          <w:tab w:val="left" w:pos="1418"/>
        </w:tabs>
        <w:spacing w:line="240" w:lineRule="auto"/>
        <w:ind w:firstLine="0"/>
        <w:jc w:val="left"/>
        <w:rPr>
          <w:rFonts w:ascii="Calibri" w:hAnsi="Calibri"/>
          <w:b/>
          <w:color w:val="002060"/>
          <w:sz w:val="24"/>
          <w:szCs w:val="20"/>
        </w:rPr>
      </w:pPr>
      <w:bookmarkStart w:id="0" w:name="Quesito"/>
      <w:r w:rsidRPr="001E0E93">
        <w:rPr>
          <w:rFonts w:ascii="Calibri" w:hAnsi="Calibri"/>
          <w:b/>
          <w:color w:val="002060"/>
          <w:sz w:val="24"/>
          <w:szCs w:val="20"/>
        </w:rPr>
        <w:t xml:space="preserve">Quesito </w:t>
      </w:r>
      <w:bookmarkEnd w:id="0"/>
      <w:r w:rsidRPr="001E0E93">
        <w:rPr>
          <w:rFonts w:ascii="Calibri" w:hAnsi="Calibri"/>
          <w:b/>
          <w:color w:val="002060"/>
          <w:sz w:val="24"/>
          <w:szCs w:val="20"/>
        </w:rPr>
        <w:t>Civilistico n. 593-2014/C</w:t>
      </w:r>
    </w:p>
    <w:p w:rsidR="00FF3AD4" w:rsidRPr="001E0E93" w:rsidRDefault="00FF3AD4" w:rsidP="00FF3AD4">
      <w:pPr>
        <w:widowControl w:val="0"/>
        <w:spacing w:before="20" w:after="20" w:line="240" w:lineRule="auto"/>
        <w:ind w:firstLine="0"/>
        <w:jc w:val="left"/>
        <w:rPr>
          <w:rFonts w:ascii="Calibri" w:hAnsi="Calibri"/>
          <w:color w:val="002060"/>
          <w:sz w:val="24"/>
          <w:szCs w:val="20"/>
        </w:rPr>
      </w:pPr>
    </w:p>
    <w:p w:rsidR="00FF3AD4" w:rsidRPr="001E0E93" w:rsidRDefault="00FF3AD4" w:rsidP="00FF3AD4">
      <w:pPr>
        <w:widowControl w:val="0"/>
        <w:spacing w:before="20" w:after="20" w:line="240" w:lineRule="auto"/>
        <w:ind w:firstLine="0"/>
        <w:jc w:val="left"/>
        <w:rPr>
          <w:rFonts w:ascii="Calibri" w:hAnsi="Calibri"/>
          <w:color w:val="002060"/>
          <w:sz w:val="24"/>
          <w:szCs w:val="20"/>
        </w:rPr>
      </w:pPr>
    </w:p>
    <w:p w:rsidR="00FF3AD4" w:rsidRPr="001E0E93" w:rsidRDefault="00FF3AD4" w:rsidP="00FF3AD4">
      <w:pPr>
        <w:widowControl w:val="0"/>
        <w:spacing w:line="276" w:lineRule="auto"/>
        <w:ind w:firstLine="0"/>
        <w:rPr>
          <w:rFonts w:ascii="Calibri" w:hAnsi="Calibri"/>
          <w:b/>
          <w:color w:val="002060"/>
          <w:sz w:val="28"/>
          <w:szCs w:val="20"/>
        </w:rPr>
      </w:pPr>
      <w:r w:rsidRPr="001E0E93">
        <w:rPr>
          <w:rFonts w:ascii="Calibri" w:hAnsi="Calibri"/>
          <w:b/>
          <w:color w:val="002060"/>
          <w:sz w:val="28"/>
          <w:szCs w:val="20"/>
        </w:rPr>
        <w:t xml:space="preserve">IL </w:t>
      </w:r>
      <w:bookmarkStart w:id="1" w:name="_GoBack"/>
      <w:r w:rsidRPr="001E0E93">
        <w:rPr>
          <w:rFonts w:ascii="Calibri" w:hAnsi="Calibri"/>
          <w:b/>
          <w:color w:val="002060"/>
          <w:sz w:val="28"/>
          <w:szCs w:val="20"/>
        </w:rPr>
        <w:t xml:space="preserve">LEGATO DI DAZIONE IN PAGAMENTO IN FAVORE DEL CONIUGE SEPARATO </w:t>
      </w:r>
      <w:bookmarkEnd w:id="1"/>
      <w:r w:rsidRPr="001E0E93">
        <w:rPr>
          <w:rFonts w:ascii="Calibri" w:hAnsi="Calibri"/>
          <w:b/>
          <w:color w:val="002060"/>
          <w:sz w:val="28"/>
          <w:szCs w:val="20"/>
        </w:rPr>
        <w:t>CON ADDEBITO, IN LUOGO DELL’ASSEGNO EX ART. 548, COMMA 2, C.C.: UNA “IPOTESI” DI LEGATO IN SOSTITUZIONE DI LEGITTIMA?</w:t>
      </w:r>
    </w:p>
    <w:p w:rsidR="00FF3AD4" w:rsidRPr="001E0E93" w:rsidRDefault="00FF3AD4" w:rsidP="00FF3AD4">
      <w:pPr>
        <w:spacing w:line="240" w:lineRule="auto"/>
        <w:ind w:firstLine="0"/>
        <w:jc w:val="left"/>
        <w:rPr>
          <w:rFonts w:ascii="Calibri" w:hAnsi="Calibri" w:cs="Calibri"/>
          <w:color w:val="002060"/>
          <w:sz w:val="24"/>
          <w:szCs w:val="24"/>
        </w:rPr>
      </w:pPr>
    </w:p>
    <w:p w:rsidR="00FF3AD4" w:rsidRPr="001E0E93" w:rsidRDefault="00FF3AD4" w:rsidP="00FF3AD4">
      <w:pPr>
        <w:rPr>
          <w:rFonts w:ascii="Calibri" w:hAnsi="Calibri" w:cs="Calibri"/>
          <w:color w:val="002060"/>
          <w:sz w:val="24"/>
          <w:szCs w:val="24"/>
        </w:rPr>
      </w:pPr>
    </w:p>
    <w:p w:rsidR="00FF3AD4" w:rsidRPr="001E0E93" w:rsidRDefault="00FF3AD4" w:rsidP="00FF3AD4">
      <w:pPr>
        <w:spacing w:line="276" w:lineRule="auto"/>
        <w:rPr>
          <w:rFonts w:ascii="Calibri" w:hAnsi="Calibri" w:cs="Calibri"/>
          <w:color w:val="002060"/>
          <w:sz w:val="24"/>
          <w:szCs w:val="24"/>
          <w:lang w:eastAsia="en-US"/>
        </w:rPr>
      </w:pPr>
      <w:r w:rsidRPr="001E0E93">
        <w:rPr>
          <w:rFonts w:ascii="Calibri" w:hAnsi="Calibri" w:cs="Calibri"/>
          <w:color w:val="002060"/>
          <w:sz w:val="24"/>
          <w:szCs w:val="24"/>
          <w:lang w:eastAsia="en-US"/>
        </w:rPr>
        <w:t xml:space="preserve">Si chiede di conoscere se il legato di dazione in pagamento in favore del coniuge separato con addebito, in luogo dell’assegno </w:t>
      </w:r>
      <w:r w:rsidRPr="001E0E93">
        <w:rPr>
          <w:rFonts w:ascii="Calibri" w:hAnsi="Calibri" w:cs="Calibri"/>
          <w:i/>
          <w:color w:val="002060"/>
          <w:sz w:val="24"/>
          <w:szCs w:val="24"/>
          <w:lang w:eastAsia="en-US"/>
        </w:rPr>
        <w:t>ex</w:t>
      </w:r>
      <w:r w:rsidRPr="001E0E93">
        <w:rPr>
          <w:rFonts w:ascii="Calibri" w:hAnsi="Calibri" w:cs="Calibri"/>
          <w:color w:val="002060"/>
          <w:sz w:val="24"/>
          <w:szCs w:val="24"/>
          <w:lang w:eastAsia="en-US"/>
        </w:rPr>
        <w:t xml:space="preserve"> art. 548, comma 2, c.c., deve essere strutturato come legato in sostituzione di legittima. </w:t>
      </w:r>
    </w:p>
    <w:p w:rsidR="00FF3AD4" w:rsidRPr="001E0E93" w:rsidRDefault="00FF3AD4" w:rsidP="00FF3AD4">
      <w:pPr>
        <w:spacing w:line="276" w:lineRule="auto"/>
        <w:ind w:firstLine="0"/>
        <w:jc w:val="center"/>
        <w:rPr>
          <w:rFonts w:ascii="Calibri" w:hAnsi="Calibri" w:cs="Calibri"/>
          <w:color w:val="002060"/>
          <w:sz w:val="24"/>
          <w:szCs w:val="24"/>
        </w:rPr>
      </w:pPr>
      <w:r w:rsidRPr="001E0E93">
        <w:rPr>
          <w:rFonts w:ascii="Calibri" w:hAnsi="Calibri" w:cs="Calibri"/>
          <w:color w:val="002060"/>
          <w:sz w:val="24"/>
          <w:szCs w:val="24"/>
        </w:rPr>
        <w:t>***</w:t>
      </w:r>
    </w:p>
    <w:p w:rsidR="00FF3AD4" w:rsidRPr="001E0E93" w:rsidRDefault="00FF3AD4" w:rsidP="00FF3AD4">
      <w:pPr>
        <w:spacing w:line="276" w:lineRule="auto"/>
        <w:rPr>
          <w:rFonts w:ascii="Calibri" w:hAnsi="Calibri" w:cs="Calibri"/>
          <w:color w:val="002060"/>
          <w:sz w:val="24"/>
          <w:szCs w:val="24"/>
        </w:rPr>
      </w:pPr>
      <w:r w:rsidRPr="001E0E93">
        <w:rPr>
          <w:rFonts w:ascii="Calibri" w:hAnsi="Calibri" w:cs="Calibri"/>
          <w:color w:val="002060"/>
          <w:sz w:val="24"/>
          <w:szCs w:val="24"/>
        </w:rPr>
        <w:t>Con riferimento al quesito posto, bisogna considerare che al coniuge separato con addebito, il quale sia stato pertanto escluso dalla successione legittima e necessaria “piena”</w:t>
      </w:r>
      <w:r w:rsidRPr="001E0E93">
        <w:rPr>
          <w:rFonts w:ascii="Calibri" w:hAnsi="Calibri" w:cs="Calibri"/>
          <w:b/>
          <w:color w:val="002060"/>
          <w:sz w:val="24"/>
          <w:szCs w:val="24"/>
          <w:vertAlign w:val="superscript"/>
        </w:rPr>
        <w:t xml:space="preserve"> (1)</w:t>
      </w:r>
      <w:r w:rsidRPr="001E0E93">
        <w:rPr>
          <w:rFonts w:ascii="Calibri" w:hAnsi="Calibri" w:cs="Calibri"/>
          <w:color w:val="002060"/>
          <w:sz w:val="24"/>
          <w:szCs w:val="24"/>
        </w:rPr>
        <w:t xml:space="preserve"> (ai sensi degli artt. 548 e 585 c.c.), spetta un assegno vitalizio, sempre che egli goda, all’apertura della successione, degli alimenti a carico del coniuge deceduto</w:t>
      </w:r>
      <w:r w:rsidRPr="001E0E93">
        <w:rPr>
          <w:rFonts w:ascii="Calibri" w:hAnsi="Calibri" w:cs="Calibri"/>
          <w:b/>
          <w:color w:val="002060"/>
          <w:sz w:val="24"/>
          <w:szCs w:val="24"/>
          <w:vertAlign w:val="superscript"/>
        </w:rPr>
        <w:t xml:space="preserve"> (2)</w:t>
      </w:r>
      <w:r w:rsidRPr="001E0E93">
        <w:rPr>
          <w:rFonts w:ascii="Calibri" w:hAnsi="Calibri" w:cs="Calibri"/>
          <w:color w:val="002060"/>
          <w:sz w:val="24"/>
          <w:szCs w:val="24"/>
        </w:rPr>
        <w:t xml:space="preserve"> (</w:t>
      </w:r>
      <w:r w:rsidRPr="001E0E93">
        <w:rPr>
          <w:rFonts w:ascii="Calibri" w:hAnsi="Calibri" w:cs="Calibri"/>
          <w:i/>
          <w:color w:val="002060"/>
          <w:sz w:val="24"/>
          <w:szCs w:val="24"/>
        </w:rPr>
        <w:t>ex</w:t>
      </w:r>
      <w:r w:rsidRPr="001E0E93">
        <w:rPr>
          <w:rFonts w:ascii="Calibri" w:hAnsi="Calibri" w:cs="Calibri"/>
          <w:color w:val="002060"/>
          <w:sz w:val="24"/>
          <w:szCs w:val="24"/>
        </w:rPr>
        <w:t xml:space="preserve"> art. 548, 2 comma, c.c.). </w:t>
      </w:r>
    </w:p>
    <w:p w:rsidR="00FF3AD4" w:rsidRPr="001E0E93" w:rsidRDefault="00FF3AD4" w:rsidP="00FF3AD4">
      <w:pPr>
        <w:spacing w:line="276" w:lineRule="auto"/>
        <w:rPr>
          <w:rFonts w:ascii="Calibri" w:hAnsi="Calibri" w:cs="Calibri"/>
          <w:color w:val="002060"/>
          <w:sz w:val="24"/>
          <w:szCs w:val="24"/>
        </w:rPr>
      </w:pPr>
      <w:r w:rsidRPr="001E0E93">
        <w:rPr>
          <w:rFonts w:ascii="Calibri" w:hAnsi="Calibri" w:cs="Calibri"/>
          <w:color w:val="002060"/>
          <w:sz w:val="24"/>
          <w:szCs w:val="24"/>
        </w:rPr>
        <w:t xml:space="preserve">Si tratta, come da più parti sostenuto, di «una ipotesi di c.d. vocazione anomala, concretantesi in un legato </w:t>
      </w:r>
      <w:r w:rsidRPr="001E0E93">
        <w:rPr>
          <w:rFonts w:ascii="Calibri" w:hAnsi="Calibri" w:cs="Calibri"/>
          <w:i/>
          <w:color w:val="002060"/>
          <w:sz w:val="24"/>
          <w:szCs w:val="24"/>
        </w:rPr>
        <w:t>ex lege</w:t>
      </w:r>
      <w:r w:rsidRPr="001E0E93">
        <w:rPr>
          <w:rFonts w:ascii="Calibri" w:hAnsi="Calibri" w:cs="Calibri"/>
          <w:b/>
          <w:color w:val="002060"/>
          <w:sz w:val="24"/>
          <w:szCs w:val="24"/>
          <w:vertAlign w:val="superscript"/>
        </w:rPr>
        <w:t xml:space="preserve"> (3)</w:t>
      </w:r>
      <w:r w:rsidRPr="001E0E93">
        <w:rPr>
          <w:rFonts w:ascii="Calibri" w:hAnsi="Calibri" w:cs="Calibri"/>
          <w:color w:val="002060"/>
          <w:sz w:val="24"/>
          <w:szCs w:val="24"/>
        </w:rPr>
        <w:t xml:space="preserve">». Soprattutto, si tratta di un particolare fenomeno successorio che ha sollevato molti problemi, tuttora irrisolti. </w:t>
      </w:r>
    </w:p>
    <w:p w:rsidR="00FF3AD4" w:rsidRPr="001E0E93" w:rsidRDefault="00FF3AD4" w:rsidP="00FF3AD4">
      <w:pPr>
        <w:spacing w:line="276" w:lineRule="auto"/>
        <w:rPr>
          <w:rFonts w:ascii="Calibri" w:hAnsi="Calibri" w:cs="Calibri"/>
          <w:color w:val="002060"/>
          <w:sz w:val="24"/>
          <w:szCs w:val="24"/>
        </w:rPr>
      </w:pPr>
      <w:r w:rsidRPr="001E0E93">
        <w:rPr>
          <w:rFonts w:ascii="Calibri" w:hAnsi="Calibri" w:cs="Calibri"/>
          <w:color w:val="002060"/>
          <w:sz w:val="24"/>
          <w:szCs w:val="24"/>
        </w:rPr>
        <w:t xml:space="preserve">In primo luogo, risulta controversa la natura di tale legato. </w:t>
      </w:r>
    </w:p>
    <w:p w:rsidR="00FF3AD4" w:rsidRPr="001E0E93" w:rsidRDefault="00FF3AD4" w:rsidP="00FF3AD4">
      <w:pPr>
        <w:spacing w:line="276" w:lineRule="auto"/>
        <w:rPr>
          <w:rFonts w:ascii="Calibri" w:hAnsi="Calibri" w:cs="Calibri"/>
          <w:color w:val="002060"/>
          <w:sz w:val="24"/>
          <w:szCs w:val="24"/>
        </w:rPr>
      </w:pPr>
      <w:r w:rsidRPr="001E0E93">
        <w:rPr>
          <w:rFonts w:ascii="Calibri" w:hAnsi="Calibri" w:cs="Calibri"/>
          <w:color w:val="002060"/>
          <w:sz w:val="24"/>
          <w:szCs w:val="24"/>
        </w:rPr>
        <w:t xml:space="preserve">Secondo parte della dottrina (che pare essere allo stato prevalente) si tratterebbe di un «diritto di riserva, sottolineando come il </w:t>
      </w:r>
      <w:r w:rsidRPr="001E0E93">
        <w:rPr>
          <w:rFonts w:ascii="Calibri" w:hAnsi="Calibri" w:cs="Calibri"/>
          <w:i/>
          <w:color w:val="002060"/>
          <w:sz w:val="24"/>
          <w:szCs w:val="24"/>
        </w:rPr>
        <w:t xml:space="preserve">de cuius </w:t>
      </w:r>
      <w:r w:rsidRPr="001E0E93">
        <w:rPr>
          <w:rFonts w:ascii="Calibri" w:hAnsi="Calibri" w:cs="Calibri"/>
          <w:color w:val="002060"/>
          <w:sz w:val="24"/>
          <w:szCs w:val="24"/>
        </w:rPr>
        <w:t>non abbia alcun potere di incidere sull’</w:t>
      </w:r>
      <w:r w:rsidRPr="001E0E93">
        <w:rPr>
          <w:rFonts w:ascii="Calibri" w:hAnsi="Calibri" w:cs="Calibri"/>
          <w:i/>
          <w:color w:val="002060"/>
          <w:sz w:val="24"/>
          <w:szCs w:val="24"/>
        </w:rPr>
        <w:t xml:space="preserve">an </w:t>
      </w:r>
      <w:r w:rsidRPr="001E0E93">
        <w:rPr>
          <w:rFonts w:ascii="Calibri" w:hAnsi="Calibri" w:cs="Calibri"/>
          <w:color w:val="002060"/>
          <w:sz w:val="24"/>
          <w:szCs w:val="24"/>
        </w:rPr>
        <w:t xml:space="preserve">e sul </w:t>
      </w:r>
      <w:r w:rsidRPr="001E0E93">
        <w:rPr>
          <w:rFonts w:ascii="Calibri" w:hAnsi="Calibri" w:cs="Calibri"/>
          <w:i/>
          <w:color w:val="002060"/>
          <w:sz w:val="24"/>
          <w:szCs w:val="24"/>
        </w:rPr>
        <w:t xml:space="preserve">quantum </w:t>
      </w:r>
      <w:r w:rsidRPr="001E0E93">
        <w:rPr>
          <w:rFonts w:ascii="Calibri" w:hAnsi="Calibri" w:cs="Calibri"/>
          <w:color w:val="002060"/>
          <w:sz w:val="24"/>
          <w:szCs w:val="24"/>
        </w:rPr>
        <w:t>di tale attribuzione. Da tale qualificazione, la stessa dottrina fa discendere che il coniuge separato con addebito concorre con gli altri legittimari, con la conseguenza che il peso del suo diritto graverà proporzionalmente sulle quote di riserva e sulla disponibile</w:t>
      </w:r>
      <w:r w:rsidRPr="001E0E93">
        <w:rPr>
          <w:rFonts w:ascii="Calibri" w:hAnsi="Calibri" w:cs="Calibri"/>
          <w:b/>
          <w:color w:val="002060"/>
          <w:sz w:val="24"/>
          <w:szCs w:val="24"/>
          <w:vertAlign w:val="superscript"/>
        </w:rPr>
        <w:t xml:space="preserve"> (4)</w:t>
      </w:r>
      <w:r w:rsidRPr="001E0E93">
        <w:rPr>
          <w:rFonts w:ascii="Calibri" w:hAnsi="Calibri" w:cs="Calibri"/>
          <w:color w:val="002060"/>
          <w:sz w:val="24"/>
          <w:szCs w:val="24"/>
        </w:rPr>
        <w:t xml:space="preserve">». </w:t>
      </w:r>
    </w:p>
    <w:p w:rsidR="00FF3AD4" w:rsidRPr="001E0E93" w:rsidRDefault="00FF3AD4" w:rsidP="00FF3AD4">
      <w:pPr>
        <w:spacing w:line="276" w:lineRule="auto"/>
        <w:rPr>
          <w:rFonts w:ascii="Calibri" w:hAnsi="Calibri" w:cs="Calibri"/>
          <w:color w:val="002060"/>
          <w:sz w:val="24"/>
          <w:szCs w:val="24"/>
        </w:rPr>
      </w:pPr>
      <w:r w:rsidRPr="001E0E93">
        <w:rPr>
          <w:rFonts w:ascii="Calibri" w:hAnsi="Calibri" w:cs="Calibri"/>
          <w:color w:val="002060"/>
          <w:sz w:val="24"/>
          <w:szCs w:val="24"/>
        </w:rPr>
        <w:t>Secondo un diverso indirizzo</w:t>
      </w:r>
      <w:r w:rsidRPr="001E0E93">
        <w:rPr>
          <w:rFonts w:ascii="Calibri" w:hAnsi="Calibri" w:cs="Calibri"/>
          <w:b/>
          <w:color w:val="002060"/>
          <w:sz w:val="24"/>
          <w:szCs w:val="24"/>
          <w:vertAlign w:val="superscript"/>
        </w:rPr>
        <w:t xml:space="preserve"> (5)</w:t>
      </w:r>
      <w:r w:rsidRPr="001E0E93">
        <w:rPr>
          <w:rFonts w:ascii="Calibri" w:hAnsi="Calibri" w:cs="Calibri"/>
          <w:color w:val="002060"/>
          <w:sz w:val="24"/>
          <w:szCs w:val="24"/>
        </w:rPr>
        <w:t xml:space="preserve"> «poiché il coniuge separato con addebito è titolare di un mero diritto di credito, e non già di una porzione di legittima, questi non acquista il titolo di erede, né, pertanto, può essere ricompreso tra i legittimari»</w:t>
      </w:r>
      <w:r w:rsidRPr="001E0E93">
        <w:rPr>
          <w:rFonts w:ascii="Calibri" w:hAnsi="Calibri" w:cs="Calibri"/>
          <w:b/>
          <w:color w:val="002060"/>
          <w:sz w:val="24"/>
          <w:szCs w:val="24"/>
          <w:vertAlign w:val="superscript"/>
        </w:rPr>
        <w:t xml:space="preserve"> (6)</w:t>
      </w:r>
      <w:r w:rsidRPr="001E0E93">
        <w:rPr>
          <w:rFonts w:ascii="Calibri" w:hAnsi="Calibri" w:cs="Calibri"/>
          <w:color w:val="002060"/>
          <w:sz w:val="24"/>
          <w:szCs w:val="24"/>
        </w:rPr>
        <w:t>.</w:t>
      </w:r>
    </w:p>
    <w:p w:rsidR="00FF3AD4" w:rsidRPr="001E0E93" w:rsidRDefault="00FF3AD4" w:rsidP="00FF3AD4">
      <w:pPr>
        <w:spacing w:line="276" w:lineRule="auto"/>
        <w:rPr>
          <w:rFonts w:ascii="Calibri" w:hAnsi="Calibri" w:cs="Calibri"/>
          <w:color w:val="002060"/>
          <w:sz w:val="24"/>
          <w:szCs w:val="24"/>
        </w:rPr>
      </w:pPr>
      <w:r w:rsidRPr="001E0E93">
        <w:rPr>
          <w:rFonts w:ascii="Calibri" w:hAnsi="Calibri" w:cs="Calibri"/>
          <w:color w:val="002060"/>
          <w:sz w:val="24"/>
          <w:szCs w:val="24"/>
        </w:rPr>
        <w:t>Non pare neppure risolto il problema relativo alla presunta natura alimentare di tale assegno</w:t>
      </w:r>
      <w:r w:rsidRPr="001E0E93">
        <w:rPr>
          <w:rFonts w:ascii="Calibri" w:hAnsi="Calibri" w:cs="Calibri"/>
          <w:b/>
          <w:color w:val="002060"/>
          <w:sz w:val="24"/>
          <w:szCs w:val="24"/>
          <w:vertAlign w:val="superscript"/>
        </w:rPr>
        <w:t xml:space="preserve"> (7)</w:t>
      </w:r>
      <w:r w:rsidRPr="001E0E93">
        <w:rPr>
          <w:rFonts w:ascii="Calibri" w:hAnsi="Calibri" w:cs="Calibri"/>
          <w:color w:val="002060"/>
          <w:sz w:val="24"/>
          <w:szCs w:val="24"/>
        </w:rPr>
        <w:t>. La questione non è senza conseguenze giuridiche, perché «quanti accordano natura alimentare all’assegno vitalizio, affermano con espressione quasi tralatizia, che l’assegno è indisponibile, irrinunciabile, inalienabile, in transigibile, impignorabile, e che non può essere oggetto di compensazione. Ad opposte conclusioni pervengono, invece, i sostenitori della contraria teori</w:t>
      </w:r>
      <w:r>
        <w:rPr>
          <w:rFonts w:ascii="Calibri" w:hAnsi="Calibri" w:cs="Calibri"/>
          <w:color w:val="002060"/>
          <w:sz w:val="24"/>
          <w:szCs w:val="24"/>
        </w:rPr>
        <w:t>c</w:t>
      </w:r>
      <w:r w:rsidRPr="001E0E93">
        <w:rPr>
          <w:rFonts w:ascii="Calibri" w:hAnsi="Calibri" w:cs="Calibri"/>
          <w:color w:val="002060"/>
          <w:sz w:val="24"/>
          <w:szCs w:val="24"/>
        </w:rPr>
        <w:t>a, i quali rilevano come l’assegno vitalizio, al pari di tutti i diritti patrimoniali di matrice successoria, sia disponibile, alienabile, rinunziabile, transigibile, pignorabile, e possa essere addotto in compensazione</w:t>
      </w:r>
      <w:r w:rsidRPr="001E0E93">
        <w:rPr>
          <w:rFonts w:ascii="Calibri" w:hAnsi="Calibri" w:cs="Calibri"/>
          <w:b/>
          <w:color w:val="002060"/>
          <w:sz w:val="24"/>
          <w:szCs w:val="24"/>
          <w:vertAlign w:val="superscript"/>
        </w:rPr>
        <w:t xml:space="preserve"> (8</w:t>
      </w:r>
      <w:proofErr w:type="gramStart"/>
      <w:r w:rsidRPr="001E0E93">
        <w:rPr>
          <w:rFonts w:ascii="Calibri" w:hAnsi="Calibri" w:cs="Calibri"/>
          <w:b/>
          <w:color w:val="002060"/>
          <w:sz w:val="24"/>
          <w:szCs w:val="24"/>
          <w:vertAlign w:val="superscript"/>
        </w:rPr>
        <w:t>)</w:t>
      </w:r>
      <w:r w:rsidRPr="001E0E93">
        <w:rPr>
          <w:rFonts w:ascii="Calibri" w:hAnsi="Calibri" w:cs="Calibri"/>
          <w:color w:val="002060"/>
          <w:sz w:val="24"/>
          <w:szCs w:val="24"/>
        </w:rPr>
        <w:t xml:space="preserve"> »</w:t>
      </w:r>
      <w:proofErr w:type="gramEnd"/>
      <w:r w:rsidRPr="001E0E93">
        <w:rPr>
          <w:rFonts w:ascii="Calibri" w:hAnsi="Calibri" w:cs="Calibri"/>
          <w:color w:val="002060"/>
          <w:sz w:val="24"/>
          <w:szCs w:val="24"/>
        </w:rPr>
        <w:t>.</w:t>
      </w:r>
    </w:p>
    <w:p w:rsidR="00FF3AD4" w:rsidRPr="001E0E93" w:rsidRDefault="00FF3AD4" w:rsidP="00FF3AD4">
      <w:pPr>
        <w:spacing w:line="276" w:lineRule="auto"/>
        <w:ind w:firstLine="0"/>
        <w:jc w:val="center"/>
        <w:rPr>
          <w:rFonts w:ascii="Calibri" w:hAnsi="Calibri" w:cs="Calibri"/>
          <w:color w:val="002060"/>
          <w:sz w:val="24"/>
          <w:szCs w:val="24"/>
        </w:rPr>
      </w:pPr>
      <w:r w:rsidRPr="001E0E93">
        <w:rPr>
          <w:rFonts w:ascii="Calibri" w:hAnsi="Calibri" w:cs="Calibri"/>
          <w:color w:val="002060"/>
          <w:sz w:val="24"/>
          <w:szCs w:val="24"/>
        </w:rPr>
        <w:t>***</w:t>
      </w:r>
    </w:p>
    <w:p w:rsidR="00FF3AD4" w:rsidRPr="001E0E93" w:rsidRDefault="00FF3AD4" w:rsidP="00FF3AD4">
      <w:pPr>
        <w:spacing w:line="276" w:lineRule="auto"/>
        <w:rPr>
          <w:rFonts w:ascii="Calibri" w:hAnsi="Calibri" w:cs="Calibri"/>
          <w:color w:val="002060"/>
          <w:sz w:val="24"/>
          <w:szCs w:val="24"/>
        </w:rPr>
      </w:pPr>
      <w:r w:rsidRPr="001E0E93">
        <w:rPr>
          <w:rFonts w:ascii="Calibri" w:hAnsi="Calibri" w:cs="Calibri"/>
          <w:color w:val="002060"/>
          <w:sz w:val="24"/>
          <w:szCs w:val="24"/>
        </w:rPr>
        <w:t xml:space="preserve">In conclusione, ed in risposta al quesito, bisogna rilevare che, pur essendo il coniuge separato con addebito escluso dalla successione legittima e necessaria “piena”, eccezion fatta per l’assegno di cui all’art. 548, comma 2, c.c., e pur potendosi tentare di ammettere la validità e la efficacia di un legato di dazione in pagamento con corresponsione in un’unica soluzione dell’assegno vitalizio, previa sua capitalizzazione, risulta preferibile e maggiormente prudente (specie in assenza di un </w:t>
      </w:r>
      <w:r w:rsidRPr="001E0E93">
        <w:rPr>
          <w:rFonts w:ascii="Calibri" w:hAnsi="Calibri" w:cs="Calibri"/>
          <w:color w:val="002060"/>
          <w:sz w:val="24"/>
          <w:szCs w:val="24"/>
        </w:rPr>
        <w:lastRenderedPageBreak/>
        <w:t>certo indirizzo giurisprudenziale sul punto) aderire all’indirizzo di chi osserva che «la natura alimentare - che per il vero non sembra necessariamente alternativa a quella successoria - comporta l’indisponibilità del diritto da parte del testatore: non sarebbe possibile ad esempio un legato sostitutivo dei diritti di cui all’art. 548, secondo comma, c.c. Il legato sostitutivo, infatti, presuppone l’esistenza di una legittimazione dispositiva in capo al beneficiario, ma tale legittimazione non esiste nel nostro ordinamento con riferimento agli alimenti</w:t>
      </w:r>
      <w:r w:rsidRPr="001E0E93">
        <w:rPr>
          <w:rFonts w:ascii="Calibri" w:hAnsi="Calibri" w:cs="Calibri"/>
          <w:b/>
          <w:color w:val="002060"/>
          <w:sz w:val="24"/>
          <w:szCs w:val="24"/>
          <w:vertAlign w:val="superscript"/>
        </w:rPr>
        <w:t xml:space="preserve"> (9)</w:t>
      </w:r>
      <w:r w:rsidRPr="001E0E93">
        <w:rPr>
          <w:rFonts w:ascii="Calibri" w:hAnsi="Calibri" w:cs="Calibri"/>
          <w:color w:val="002060"/>
          <w:sz w:val="24"/>
          <w:szCs w:val="24"/>
        </w:rPr>
        <w:t>».</w:t>
      </w:r>
    </w:p>
    <w:p w:rsidR="00FF3AD4" w:rsidRPr="001E0E93" w:rsidRDefault="00FF3AD4" w:rsidP="00FF3AD4">
      <w:pPr>
        <w:spacing w:line="276" w:lineRule="auto"/>
        <w:rPr>
          <w:rFonts w:ascii="Calibri" w:hAnsi="Calibri" w:cs="Calibri"/>
          <w:color w:val="002060"/>
          <w:sz w:val="24"/>
          <w:szCs w:val="24"/>
        </w:rPr>
      </w:pPr>
    </w:p>
    <w:p w:rsidR="00FF3AD4" w:rsidRPr="001E0E93" w:rsidRDefault="00FF3AD4" w:rsidP="00FF3AD4">
      <w:pPr>
        <w:spacing w:line="276" w:lineRule="auto"/>
        <w:jc w:val="right"/>
        <w:rPr>
          <w:rFonts w:ascii="Calibri" w:hAnsi="Calibri" w:cs="Calibri"/>
          <w:i/>
          <w:color w:val="002060"/>
          <w:sz w:val="24"/>
          <w:szCs w:val="24"/>
        </w:rPr>
      </w:pPr>
      <w:r w:rsidRPr="001E0E93">
        <w:rPr>
          <w:rFonts w:ascii="Calibri" w:hAnsi="Calibri" w:cs="Calibri"/>
          <w:i/>
          <w:color w:val="002060"/>
          <w:sz w:val="24"/>
          <w:szCs w:val="24"/>
        </w:rPr>
        <w:t>Antonio Musto</w:t>
      </w:r>
    </w:p>
    <w:p w:rsidR="00FF3AD4" w:rsidRPr="001E0E93" w:rsidRDefault="00FF3AD4" w:rsidP="00FF3AD4">
      <w:pPr>
        <w:jc w:val="left"/>
        <w:rPr>
          <w:rFonts w:ascii="Calibri" w:hAnsi="Calibri" w:cs="Calibri"/>
          <w:i/>
          <w:color w:val="002060"/>
          <w:sz w:val="24"/>
          <w:szCs w:val="24"/>
        </w:rPr>
      </w:pPr>
      <w:r w:rsidRPr="001E0E93">
        <w:rPr>
          <w:rFonts w:ascii="Calibri" w:hAnsi="Calibri" w:cs="Calibri"/>
          <w:i/>
          <w:color w:val="002060"/>
          <w:sz w:val="24"/>
          <w:szCs w:val="24"/>
        </w:rPr>
        <w:t>__________________</w:t>
      </w:r>
    </w:p>
    <w:p w:rsidR="00FF3AD4" w:rsidRPr="001E0E93" w:rsidRDefault="00FF3AD4" w:rsidP="00FF3AD4">
      <w:pPr>
        <w:numPr>
          <w:ilvl w:val="0"/>
          <w:numId w:val="5"/>
        </w:numPr>
        <w:spacing w:line="240" w:lineRule="auto"/>
        <w:ind w:left="567" w:hanging="425"/>
        <w:rPr>
          <w:rFonts w:ascii="Calibri" w:hAnsi="Calibri" w:cs="Calibri"/>
          <w:color w:val="002060"/>
          <w:szCs w:val="20"/>
          <w:lang w:eastAsia="en-US"/>
        </w:rPr>
      </w:pPr>
      <w:r w:rsidRPr="001E0E93">
        <w:rPr>
          <w:rFonts w:ascii="Calibri" w:hAnsi="Calibri" w:cs="Calibri"/>
          <w:color w:val="002060"/>
          <w:szCs w:val="20"/>
          <w:lang w:eastAsia="en-US"/>
        </w:rPr>
        <w:t xml:space="preserve">«La posizione successoria del coniuge, cui sia stata addebitata la separazione, è nettamente deteriore, al medesimo non spettando, né una quota di eredità, né tanto meno, i diritti di abitazione e di uso, di cui all’art. 540 c.c. (…). La privazione del titolo di erede, e la conseguente mancata devoluzione di una quota di eredità, in favore del coniuge, cui sia stata addebitata la separazione, trova giustificazione nella sanzione, vale a dire, nell’addebito, che (di)spiega i suoi effetti anche in ambito successorio, comminata al coniuge, per l’effetto della propria condotta, improntata alla violazione degli obblighi derivanti dal matrimonio» </w:t>
      </w:r>
      <w:r w:rsidRPr="001E0E93">
        <w:rPr>
          <w:rFonts w:ascii="Calibri" w:hAnsi="Calibri" w:cs="Calibri"/>
          <w:smallCaps/>
          <w:color w:val="002060"/>
          <w:szCs w:val="20"/>
          <w:lang w:val="x-none" w:eastAsia="x-none"/>
        </w:rPr>
        <w:t>A. Tullio</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La successione necessaria</w:t>
      </w:r>
      <w:r w:rsidRPr="001E0E93">
        <w:rPr>
          <w:rFonts w:ascii="Calibri" w:hAnsi="Calibri" w:cs="Calibri"/>
          <w:color w:val="002060"/>
          <w:szCs w:val="20"/>
          <w:lang w:eastAsia="en-US"/>
        </w:rPr>
        <w:t>, Torino, 2012, 82-83.</w:t>
      </w:r>
    </w:p>
    <w:p w:rsidR="00FF3AD4" w:rsidRPr="001E0E93" w:rsidRDefault="00FF3AD4" w:rsidP="00FF3AD4">
      <w:pPr>
        <w:numPr>
          <w:ilvl w:val="0"/>
          <w:numId w:val="5"/>
        </w:numPr>
        <w:spacing w:line="240" w:lineRule="auto"/>
        <w:ind w:left="567" w:hanging="425"/>
        <w:rPr>
          <w:rFonts w:ascii="Calibri" w:hAnsi="Calibri" w:cs="Calibri"/>
          <w:color w:val="002060"/>
          <w:szCs w:val="20"/>
          <w:lang w:eastAsia="en-US"/>
        </w:rPr>
      </w:pPr>
      <w:r w:rsidRPr="001E0E93">
        <w:rPr>
          <w:rFonts w:ascii="Calibri" w:hAnsi="Calibri" w:cs="Calibri"/>
          <w:smallCaps/>
          <w:color w:val="002060"/>
          <w:szCs w:val="20"/>
          <w:lang w:val="x-none" w:eastAsia="x-none"/>
        </w:rPr>
        <w:t>G. F. Basini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I diritti successori del coniuge separato. L’assegno vitalizio</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Fam. per. succ</w:t>
      </w:r>
      <w:r w:rsidRPr="001E0E93">
        <w:rPr>
          <w:rFonts w:ascii="Calibri" w:hAnsi="Calibri" w:cs="Calibri"/>
          <w:color w:val="002060"/>
          <w:szCs w:val="20"/>
          <w:lang w:eastAsia="en-US"/>
        </w:rPr>
        <w:t xml:space="preserve">., 2008, 262. Cfr., anche, </w:t>
      </w:r>
      <w:r w:rsidRPr="001E0E93">
        <w:rPr>
          <w:rFonts w:ascii="Calibri" w:hAnsi="Calibri" w:cs="Calibri"/>
          <w:smallCaps/>
          <w:color w:val="002060"/>
          <w:szCs w:val="20"/>
          <w:lang w:val="x-none" w:eastAsia="x-none"/>
        </w:rPr>
        <w:t>Id</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L’esclusione del coniuge separato con addebito dai diritti successorii “pieni”</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Fam. pers. e succ</w:t>
      </w:r>
      <w:r w:rsidRPr="001E0E93">
        <w:rPr>
          <w:rFonts w:ascii="Calibri" w:hAnsi="Calibri" w:cs="Calibri"/>
          <w:color w:val="002060"/>
          <w:szCs w:val="20"/>
          <w:lang w:eastAsia="en-US"/>
        </w:rPr>
        <w:t xml:space="preserve">., 2008, 163; </w:t>
      </w:r>
      <w:r w:rsidRPr="001E0E93">
        <w:rPr>
          <w:rFonts w:ascii="Calibri" w:hAnsi="Calibri" w:cs="Calibri"/>
          <w:smallCaps/>
          <w:color w:val="002060"/>
          <w:szCs w:val="20"/>
          <w:lang w:val="x-none" w:eastAsia="x-none"/>
        </w:rPr>
        <w:t>Id.</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I diritti successori del coniuge separato, in Il diritto delle successioni: successione e diritti del coniuge superstite e del convivente</w:t>
      </w:r>
      <w:r w:rsidRPr="001E0E93">
        <w:rPr>
          <w:rFonts w:ascii="Calibri" w:hAnsi="Calibri" w:cs="Calibri"/>
          <w:color w:val="002060"/>
          <w:szCs w:val="20"/>
          <w:lang w:eastAsia="en-US"/>
        </w:rPr>
        <w:t xml:space="preserve"> more uxorio, </w:t>
      </w:r>
      <w:r w:rsidRPr="001E0E93">
        <w:rPr>
          <w:rFonts w:ascii="Calibri" w:hAnsi="Calibri" w:cs="Calibri"/>
          <w:smallCaps/>
          <w:color w:val="002060"/>
          <w:szCs w:val="20"/>
          <w:lang w:val="x-none" w:eastAsia="x-none"/>
        </w:rPr>
        <w:t>G. Bonilini</w:t>
      </w:r>
      <w:r w:rsidRPr="001E0E93">
        <w:rPr>
          <w:rFonts w:ascii="Calibri" w:hAnsi="Calibri" w:cs="Calibri"/>
          <w:color w:val="002060"/>
          <w:szCs w:val="20"/>
          <w:lang w:eastAsia="en-US"/>
        </w:rPr>
        <w:t xml:space="preserve"> (diretto da), Torino, 2004, 181 ss. «L’esclusione dalla vocazione del coniuge cui la separazione è stata addebitata opera sia per la successione a titolo universale sia per i due legati </w:t>
      </w:r>
      <w:r w:rsidRPr="001E0E93">
        <w:rPr>
          <w:rFonts w:ascii="Calibri" w:hAnsi="Calibri" w:cs="Calibri"/>
          <w:i/>
          <w:color w:val="002060"/>
          <w:szCs w:val="20"/>
          <w:lang w:eastAsia="en-US"/>
        </w:rPr>
        <w:t>ex lege</w:t>
      </w:r>
      <w:r w:rsidRPr="001E0E93">
        <w:rPr>
          <w:rFonts w:ascii="Calibri" w:hAnsi="Calibri" w:cs="Calibri"/>
          <w:color w:val="002060"/>
          <w:szCs w:val="20"/>
          <w:lang w:eastAsia="en-US"/>
        </w:rPr>
        <w:t xml:space="preserve">. Si tratta di un’esclusione non totale, dal momento che sia l’art. 548, comma 2, c.c., in materia di successione necessaria, sia l’art. 585, comma 2, c.c. - in forza del rinvio a quanto disposto dal suddetto secondo comma dell’art. 545 c.c. -, in tema di successione legittima, statuiscono che, al coniuge cui la separazione è stata addebitata con senza passata in giudicato, spetti un assegno vitalizio, qualora al momento dell’apertura della successione godesse di un assegno alimentare a carico del coniuge deceduto, e che l’assegno vitalizio debba essere commisurato alle sostanze ereditarie e alla qualità e al numero degli eredi legittimi e la sua entità non debba in ogni caso essere superiore a quella della prestazione alimentare goduta» </w:t>
      </w:r>
      <w:r w:rsidRPr="001E0E93">
        <w:rPr>
          <w:rFonts w:ascii="Calibri" w:hAnsi="Calibri" w:cs="Calibri"/>
          <w:smallCaps/>
          <w:color w:val="002060"/>
          <w:szCs w:val="20"/>
          <w:lang w:val="x-none" w:eastAsia="x-none"/>
        </w:rPr>
        <w:t>G. Oberto</w:t>
      </w:r>
      <w:r w:rsidRPr="001E0E93">
        <w:rPr>
          <w:rFonts w:ascii="Calibri" w:hAnsi="Calibri" w:cs="Calibri"/>
          <w:color w:val="002060"/>
          <w:szCs w:val="20"/>
          <w:lang w:eastAsia="en-US"/>
        </w:rPr>
        <w:t xml:space="preserve"> (a cura di), </w:t>
      </w:r>
      <w:r w:rsidRPr="001E0E93">
        <w:rPr>
          <w:rFonts w:ascii="Calibri" w:hAnsi="Calibri" w:cs="Calibri"/>
          <w:i/>
          <w:color w:val="002060"/>
          <w:szCs w:val="20"/>
          <w:lang w:eastAsia="en-US"/>
        </w:rPr>
        <w:t>Gli aspetti di separazione e divorzio nella famiglia</w:t>
      </w:r>
      <w:r w:rsidRPr="001E0E93">
        <w:rPr>
          <w:rFonts w:ascii="Calibri" w:hAnsi="Calibri" w:cs="Calibri"/>
          <w:color w:val="002060"/>
          <w:szCs w:val="20"/>
          <w:lang w:eastAsia="en-US"/>
        </w:rPr>
        <w:t xml:space="preserve">, Padova, 2012, 567-568. In letteratura, in argomento, </w:t>
      </w:r>
      <w:r w:rsidRPr="001E0E93">
        <w:rPr>
          <w:rFonts w:ascii="Calibri" w:hAnsi="Calibri" w:cs="Calibri"/>
          <w:smallCaps/>
          <w:color w:val="002060"/>
          <w:szCs w:val="20"/>
          <w:lang w:val="x-none" w:eastAsia="x-none"/>
        </w:rPr>
        <w:t>A. Marini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Sull’assegno vitalizio al coniuge separato</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 xml:space="preserve">Riv. dir. </w:t>
      </w:r>
      <w:proofErr w:type="gramStart"/>
      <w:r w:rsidRPr="001E0E93">
        <w:rPr>
          <w:rFonts w:ascii="Calibri" w:hAnsi="Calibri" w:cs="Calibri"/>
          <w:i/>
          <w:color w:val="002060"/>
          <w:szCs w:val="20"/>
          <w:lang w:eastAsia="en-US"/>
        </w:rPr>
        <w:t>civ</w:t>
      </w:r>
      <w:r w:rsidRPr="001E0E93">
        <w:rPr>
          <w:rFonts w:ascii="Calibri" w:hAnsi="Calibri" w:cs="Calibri"/>
          <w:color w:val="002060"/>
          <w:szCs w:val="20"/>
          <w:lang w:eastAsia="en-US"/>
        </w:rPr>
        <w:t>.,</w:t>
      </w:r>
      <w:proofErr w:type="gramEnd"/>
      <w:r w:rsidRPr="001E0E93">
        <w:rPr>
          <w:rFonts w:ascii="Calibri" w:hAnsi="Calibri" w:cs="Calibri"/>
          <w:color w:val="002060"/>
          <w:szCs w:val="20"/>
          <w:lang w:eastAsia="en-US"/>
        </w:rPr>
        <w:t xml:space="preserve"> 1977, II, 329 ss.; </w:t>
      </w:r>
      <w:r w:rsidRPr="001E0E93">
        <w:rPr>
          <w:rFonts w:ascii="Calibri" w:hAnsi="Calibri" w:cs="Calibri"/>
          <w:smallCaps/>
          <w:color w:val="002060"/>
          <w:szCs w:val="20"/>
          <w:lang w:val="x-none" w:eastAsia="x-none"/>
        </w:rPr>
        <w:t>Id</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Assegno vitalizio al coniuge separato e tutela del legittimario</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Dir. e giur</w:t>
      </w:r>
      <w:r w:rsidRPr="001E0E93">
        <w:rPr>
          <w:rFonts w:ascii="Calibri" w:hAnsi="Calibri" w:cs="Calibri"/>
          <w:color w:val="002060"/>
          <w:szCs w:val="20"/>
          <w:lang w:eastAsia="en-US"/>
        </w:rPr>
        <w:t>., 1978, 31 ss</w:t>
      </w:r>
      <w:r w:rsidRPr="001E0E93">
        <w:rPr>
          <w:rFonts w:ascii="Calibri" w:hAnsi="Calibri" w:cs="Calibri"/>
          <w:smallCaps/>
          <w:color w:val="002060"/>
          <w:szCs w:val="20"/>
          <w:lang w:val="x-none" w:eastAsia="x-none"/>
        </w:rPr>
        <w:t>.; P. Nicolini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Appunti sulla successione legittima del coniuge</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Dir. fam</w:t>
      </w:r>
      <w:r w:rsidRPr="001E0E93">
        <w:rPr>
          <w:rFonts w:ascii="Calibri" w:hAnsi="Calibri" w:cs="Calibri"/>
          <w:color w:val="002060"/>
          <w:szCs w:val="20"/>
          <w:lang w:eastAsia="en-US"/>
        </w:rPr>
        <w:t xml:space="preserve">., 1981, 616; </w:t>
      </w:r>
      <w:r w:rsidRPr="001E0E93">
        <w:rPr>
          <w:rFonts w:ascii="Calibri" w:hAnsi="Calibri" w:cs="Calibri"/>
          <w:smallCaps/>
          <w:color w:val="002060"/>
          <w:szCs w:val="20"/>
          <w:lang w:val="x-none" w:eastAsia="x-none"/>
        </w:rPr>
        <w:t>A. Giusti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Successione del coniuge separato con addebito e pena privata</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 xml:space="preserve">Giur. </w:t>
      </w:r>
      <w:proofErr w:type="gramStart"/>
      <w:r w:rsidRPr="001E0E93">
        <w:rPr>
          <w:rFonts w:ascii="Calibri" w:hAnsi="Calibri" w:cs="Calibri"/>
          <w:i/>
          <w:color w:val="002060"/>
          <w:szCs w:val="20"/>
          <w:lang w:eastAsia="en-US"/>
        </w:rPr>
        <w:t>it</w:t>
      </w:r>
      <w:r w:rsidRPr="001E0E93">
        <w:rPr>
          <w:rFonts w:ascii="Calibri" w:hAnsi="Calibri" w:cs="Calibri"/>
          <w:color w:val="002060"/>
          <w:szCs w:val="20"/>
          <w:lang w:eastAsia="en-US"/>
        </w:rPr>
        <w:t>.,</w:t>
      </w:r>
      <w:proofErr w:type="gramEnd"/>
      <w:r w:rsidRPr="001E0E93">
        <w:rPr>
          <w:rFonts w:ascii="Calibri" w:hAnsi="Calibri" w:cs="Calibri"/>
          <w:color w:val="002060"/>
          <w:szCs w:val="20"/>
          <w:lang w:eastAsia="en-US"/>
        </w:rPr>
        <w:t xml:space="preserve"> 1986, IV, 320 ss.; </w:t>
      </w:r>
      <w:r w:rsidRPr="001E0E93">
        <w:rPr>
          <w:rFonts w:ascii="Calibri" w:hAnsi="Calibri" w:cs="Calibri"/>
          <w:smallCaps/>
          <w:color w:val="002060"/>
          <w:szCs w:val="20"/>
          <w:lang w:val="x-none" w:eastAsia="x-none"/>
        </w:rPr>
        <w:t>S. Ferrari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Aspetti problematici della successione del coniuge</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Vita not</w:t>
      </w:r>
      <w:r w:rsidRPr="001E0E93">
        <w:rPr>
          <w:rFonts w:ascii="Calibri" w:hAnsi="Calibri" w:cs="Calibri"/>
          <w:color w:val="002060"/>
          <w:szCs w:val="20"/>
          <w:lang w:eastAsia="en-US"/>
        </w:rPr>
        <w:t xml:space="preserve">., 2002, 1266 ss.; </w:t>
      </w:r>
      <w:r w:rsidRPr="001E0E93">
        <w:rPr>
          <w:rFonts w:ascii="Calibri" w:hAnsi="Calibri" w:cs="Calibri"/>
          <w:smallCaps/>
          <w:color w:val="002060"/>
          <w:szCs w:val="20"/>
          <w:lang w:val="x-none" w:eastAsia="x-none"/>
        </w:rPr>
        <w:t>A. Mirone</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I diritti successori del coniuge</w:t>
      </w:r>
      <w:r w:rsidRPr="001E0E93">
        <w:rPr>
          <w:rFonts w:ascii="Calibri" w:hAnsi="Calibri" w:cs="Calibri"/>
          <w:color w:val="002060"/>
          <w:szCs w:val="20"/>
          <w:lang w:eastAsia="en-US"/>
        </w:rPr>
        <w:t xml:space="preserve">, Napoli, 1992, 213 e 241; </w:t>
      </w:r>
      <w:r w:rsidRPr="001E0E93">
        <w:rPr>
          <w:rFonts w:ascii="Calibri" w:hAnsi="Calibri" w:cs="Calibri"/>
          <w:smallCaps/>
          <w:color w:val="002060"/>
          <w:szCs w:val="20"/>
          <w:lang w:val="x-none" w:eastAsia="x-none"/>
        </w:rPr>
        <w:t>L. Mezzanotte</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La successione anomala del coniuge</w:t>
      </w:r>
      <w:r w:rsidRPr="001E0E93">
        <w:rPr>
          <w:rFonts w:ascii="Calibri" w:hAnsi="Calibri" w:cs="Calibri"/>
          <w:color w:val="002060"/>
          <w:szCs w:val="20"/>
          <w:lang w:eastAsia="en-US"/>
        </w:rPr>
        <w:t xml:space="preserve">, Napoli, 1989, 77 ss.; </w:t>
      </w:r>
      <w:r w:rsidRPr="001E0E93">
        <w:rPr>
          <w:rFonts w:ascii="Calibri" w:hAnsi="Calibri" w:cs="Calibri"/>
          <w:smallCaps/>
          <w:color w:val="002060"/>
          <w:szCs w:val="20"/>
          <w:lang w:val="x-none" w:eastAsia="x-none"/>
        </w:rPr>
        <w:t>L. Barbiera</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I diritti patrimoniali dei separati e dei divorziati</w:t>
      </w:r>
      <w:r w:rsidRPr="001E0E93">
        <w:rPr>
          <w:rFonts w:ascii="Calibri" w:hAnsi="Calibri" w:cs="Calibri"/>
          <w:color w:val="002060"/>
          <w:szCs w:val="20"/>
          <w:lang w:eastAsia="en-US"/>
        </w:rPr>
        <w:t>, Bologna, 2001, 100 ss.</w:t>
      </w:r>
    </w:p>
    <w:p w:rsidR="00FF3AD4" w:rsidRPr="001E0E93" w:rsidRDefault="00FF3AD4" w:rsidP="00FF3AD4">
      <w:pPr>
        <w:numPr>
          <w:ilvl w:val="0"/>
          <w:numId w:val="5"/>
        </w:numPr>
        <w:spacing w:line="240" w:lineRule="auto"/>
        <w:ind w:left="567" w:hanging="425"/>
        <w:rPr>
          <w:rFonts w:ascii="Calibri" w:hAnsi="Calibri" w:cs="Calibri"/>
          <w:color w:val="002060"/>
          <w:szCs w:val="20"/>
          <w:lang w:eastAsia="en-US"/>
        </w:rPr>
      </w:pPr>
      <w:r w:rsidRPr="001E0E93">
        <w:rPr>
          <w:rFonts w:ascii="Calibri" w:hAnsi="Calibri" w:cs="Calibri"/>
          <w:smallCaps/>
          <w:color w:val="002060"/>
          <w:szCs w:val="20"/>
          <w:lang w:val="x-none" w:eastAsia="x-none"/>
        </w:rPr>
        <w:t>A. Ferrucci</w:t>
      </w:r>
      <w:r w:rsidRPr="001E0E93">
        <w:rPr>
          <w:rFonts w:ascii="Calibri" w:hAnsi="Calibri" w:cs="Calibri"/>
          <w:color w:val="002060"/>
          <w:szCs w:val="20"/>
          <w:lang w:eastAsia="en-US"/>
        </w:rPr>
        <w:t xml:space="preserve"> e </w:t>
      </w:r>
      <w:r w:rsidRPr="001E0E93">
        <w:rPr>
          <w:rFonts w:ascii="Calibri" w:hAnsi="Calibri" w:cs="Calibri"/>
          <w:smallCaps/>
          <w:color w:val="002060"/>
          <w:szCs w:val="20"/>
          <w:lang w:val="x-none" w:eastAsia="x-none"/>
        </w:rPr>
        <w:t>C. Ferrentino</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Atti</w:t>
      </w:r>
      <w:r w:rsidRPr="001E0E93">
        <w:rPr>
          <w:rFonts w:ascii="Calibri" w:hAnsi="Calibri" w:cs="Calibri"/>
          <w:color w:val="002060"/>
          <w:szCs w:val="20"/>
          <w:lang w:eastAsia="en-US"/>
        </w:rPr>
        <w:t xml:space="preserve"> mortis causa, Milano, 2010, 456 ss. «Si reputa che il diritto del coniuge separato con addebito si riannodi alla sua vocazione </w:t>
      </w:r>
      <w:r w:rsidRPr="001E0E93">
        <w:rPr>
          <w:rFonts w:ascii="Calibri" w:hAnsi="Calibri" w:cs="Calibri"/>
          <w:i/>
          <w:color w:val="002060"/>
          <w:szCs w:val="20"/>
          <w:lang w:eastAsia="en-US"/>
        </w:rPr>
        <w:t xml:space="preserve">mortis causa </w:t>
      </w:r>
      <w:r w:rsidRPr="001E0E93">
        <w:rPr>
          <w:rFonts w:ascii="Calibri" w:hAnsi="Calibri" w:cs="Calibri"/>
          <w:color w:val="002060"/>
          <w:szCs w:val="20"/>
          <w:lang w:eastAsia="en-US"/>
        </w:rPr>
        <w:t xml:space="preserve">a titolo particolare. In altri termini, lo stesso diviene titolare di un legato obbligatorio </w:t>
      </w:r>
      <w:r w:rsidRPr="001E0E93">
        <w:rPr>
          <w:rFonts w:ascii="Calibri" w:hAnsi="Calibri" w:cs="Calibri"/>
          <w:i/>
          <w:color w:val="002060"/>
          <w:szCs w:val="20"/>
          <w:lang w:eastAsia="en-US"/>
        </w:rPr>
        <w:t>ex lege</w:t>
      </w:r>
      <w:r w:rsidRPr="001E0E93">
        <w:rPr>
          <w:rFonts w:ascii="Calibri" w:hAnsi="Calibri" w:cs="Calibri"/>
          <w:color w:val="002060"/>
          <w:szCs w:val="20"/>
          <w:lang w:eastAsia="en-US"/>
        </w:rPr>
        <w:t xml:space="preserve">, come si desume, altresì, dalla circostanza che il suo ammontare massimo è fissato dalla legge, e va commisurato alle sostanze ereditarie e alla qualità e al numero degli eredi» </w:t>
      </w:r>
      <w:r w:rsidRPr="001E0E93">
        <w:rPr>
          <w:rFonts w:ascii="Calibri" w:hAnsi="Calibri" w:cs="Calibri"/>
          <w:smallCaps/>
          <w:color w:val="002060"/>
          <w:szCs w:val="20"/>
          <w:lang w:val="x-none" w:eastAsia="x-none"/>
        </w:rPr>
        <w:t>G. Bonilini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Manuale di diritto ereditario e delle donazioni</w:t>
      </w:r>
      <w:r w:rsidRPr="001E0E93">
        <w:rPr>
          <w:rFonts w:ascii="Calibri" w:hAnsi="Calibri" w:cs="Calibri"/>
          <w:color w:val="002060"/>
          <w:szCs w:val="20"/>
          <w:lang w:eastAsia="en-US"/>
        </w:rPr>
        <w:t>, Torino, 2013, 167.</w:t>
      </w:r>
    </w:p>
    <w:p w:rsidR="00FF3AD4" w:rsidRPr="001E0E93" w:rsidRDefault="00FF3AD4" w:rsidP="00FF3AD4">
      <w:pPr>
        <w:numPr>
          <w:ilvl w:val="0"/>
          <w:numId w:val="5"/>
        </w:numPr>
        <w:spacing w:line="240" w:lineRule="auto"/>
        <w:ind w:left="567" w:hanging="425"/>
        <w:rPr>
          <w:rFonts w:ascii="Calibri" w:hAnsi="Calibri" w:cs="Calibri"/>
          <w:color w:val="002060"/>
          <w:szCs w:val="20"/>
          <w:lang w:eastAsia="en-US"/>
        </w:rPr>
      </w:pPr>
      <w:r w:rsidRPr="001E0E93">
        <w:rPr>
          <w:rFonts w:ascii="Calibri" w:hAnsi="Calibri" w:cs="Calibri"/>
          <w:smallCaps/>
          <w:color w:val="002060"/>
          <w:szCs w:val="20"/>
          <w:lang w:val="x-none" w:eastAsia="x-none"/>
        </w:rPr>
        <w:t>G. Capozzi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Successioni e donazioni</w:t>
      </w:r>
      <w:r w:rsidRPr="001E0E93">
        <w:rPr>
          <w:rFonts w:ascii="Calibri" w:hAnsi="Calibri" w:cs="Calibri"/>
          <w:color w:val="002060"/>
          <w:szCs w:val="20"/>
          <w:lang w:eastAsia="en-US"/>
        </w:rPr>
        <w:t xml:space="preserve">, A. </w:t>
      </w:r>
      <w:r w:rsidRPr="001E0E93">
        <w:rPr>
          <w:rFonts w:ascii="Calibri" w:hAnsi="Calibri" w:cs="Calibri"/>
          <w:smallCaps/>
          <w:color w:val="002060"/>
          <w:szCs w:val="20"/>
          <w:lang w:val="x-none" w:eastAsia="x-none"/>
        </w:rPr>
        <w:t>Ferrucci</w:t>
      </w:r>
      <w:r w:rsidRPr="001E0E93">
        <w:rPr>
          <w:rFonts w:ascii="Calibri" w:hAnsi="Calibri" w:cs="Calibri"/>
          <w:color w:val="002060"/>
          <w:szCs w:val="20"/>
          <w:lang w:eastAsia="en-US"/>
        </w:rPr>
        <w:t xml:space="preserve"> e </w:t>
      </w:r>
      <w:r w:rsidRPr="001E0E93">
        <w:rPr>
          <w:rFonts w:ascii="Calibri" w:hAnsi="Calibri" w:cs="Calibri"/>
          <w:smallCaps/>
          <w:color w:val="002060"/>
          <w:szCs w:val="20"/>
          <w:lang w:val="x-none" w:eastAsia="x-none"/>
        </w:rPr>
        <w:t>C. Ferrentino</w:t>
      </w:r>
      <w:r w:rsidRPr="001E0E93">
        <w:rPr>
          <w:rFonts w:ascii="Calibri" w:hAnsi="Calibri" w:cs="Calibri"/>
          <w:color w:val="002060"/>
          <w:szCs w:val="20"/>
          <w:lang w:eastAsia="en-US"/>
        </w:rPr>
        <w:t xml:space="preserve"> (a cura di), Milano, 2009, 415. Ivi per la dottrina richiamata. «La sua fonte successoria lo rende autonomo rispetto al diritto agli alimenti, quanto ad ammontare e disciplina. Il suo riconoscimento attribuisce al coniuge separato con addebito la qualità di erede legittimario, limitatamente al diritto </w:t>
      </w:r>
      <w:r w:rsidRPr="001E0E93">
        <w:rPr>
          <w:rFonts w:ascii="Calibri" w:hAnsi="Calibri" w:cs="Calibri"/>
          <w:i/>
          <w:color w:val="002060"/>
          <w:szCs w:val="20"/>
          <w:lang w:eastAsia="en-US"/>
        </w:rPr>
        <w:t xml:space="preserve">ex lege </w:t>
      </w:r>
      <w:r w:rsidRPr="001E0E93">
        <w:rPr>
          <w:rFonts w:ascii="Calibri" w:hAnsi="Calibri" w:cs="Calibri"/>
          <w:color w:val="002060"/>
          <w:szCs w:val="20"/>
          <w:lang w:eastAsia="en-US"/>
        </w:rPr>
        <w:t xml:space="preserve">sulla successione del </w:t>
      </w:r>
      <w:r w:rsidRPr="001E0E93">
        <w:rPr>
          <w:rFonts w:ascii="Calibri" w:hAnsi="Calibri" w:cs="Calibri"/>
          <w:i/>
          <w:color w:val="002060"/>
          <w:szCs w:val="20"/>
          <w:lang w:eastAsia="en-US"/>
        </w:rPr>
        <w:t>de cuius</w:t>
      </w:r>
      <w:r w:rsidRPr="001E0E93">
        <w:rPr>
          <w:rFonts w:ascii="Calibri" w:hAnsi="Calibri" w:cs="Calibri"/>
          <w:color w:val="002060"/>
          <w:szCs w:val="20"/>
          <w:lang w:eastAsia="en-US"/>
        </w:rPr>
        <w:t xml:space="preserve">, il quale si configura di conseguenza come legato di legittima» </w:t>
      </w:r>
      <w:r w:rsidRPr="001E0E93">
        <w:rPr>
          <w:rFonts w:ascii="Calibri" w:hAnsi="Calibri" w:cs="Calibri"/>
          <w:smallCaps/>
          <w:color w:val="002060"/>
          <w:szCs w:val="20"/>
          <w:lang w:val="x-none" w:eastAsia="x-none"/>
        </w:rPr>
        <w:t>S. Patti</w:t>
      </w:r>
      <w:r w:rsidRPr="001E0E93">
        <w:rPr>
          <w:rFonts w:ascii="Calibri" w:hAnsi="Calibri" w:cs="Calibri"/>
          <w:color w:val="002060"/>
          <w:szCs w:val="20"/>
          <w:lang w:eastAsia="en-US"/>
        </w:rPr>
        <w:t xml:space="preserve"> e </w:t>
      </w:r>
      <w:r w:rsidRPr="001E0E93">
        <w:rPr>
          <w:rFonts w:ascii="Calibri" w:hAnsi="Calibri" w:cs="Calibri"/>
          <w:smallCaps/>
          <w:color w:val="002060"/>
          <w:szCs w:val="20"/>
          <w:lang w:val="x-none" w:eastAsia="x-none"/>
        </w:rPr>
        <w:t>M.G. Cubeddu</w:t>
      </w:r>
      <w:r w:rsidRPr="001E0E93">
        <w:rPr>
          <w:rFonts w:ascii="Calibri" w:hAnsi="Calibri" w:cs="Calibri"/>
          <w:color w:val="002060"/>
          <w:szCs w:val="20"/>
          <w:lang w:eastAsia="en-US"/>
        </w:rPr>
        <w:t xml:space="preserve"> (a cura di), </w:t>
      </w:r>
      <w:r w:rsidRPr="001E0E93">
        <w:rPr>
          <w:rFonts w:ascii="Calibri" w:hAnsi="Calibri" w:cs="Calibri"/>
          <w:i/>
          <w:color w:val="002060"/>
          <w:szCs w:val="20"/>
          <w:lang w:eastAsia="en-US"/>
        </w:rPr>
        <w:t>Diritto di famiglia</w:t>
      </w:r>
      <w:r w:rsidRPr="001E0E93">
        <w:rPr>
          <w:rFonts w:ascii="Calibri" w:hAnsi="Calibri" w:cs="Calibri"/>
          <w:color w:val="002060"/>
          <w:szCs w:val="20"/>
          <w:lang w:eastAsia="en-US"/>
        </w:rPr>
        <w:t xml:space="preserve">, Milano, 2011, 512. Proprio perché l’attribuzione abbia natura di riserva resta controverso in dottrina se al coniuge separato con addebito si applichi la disciplina della imputazione </w:t>
      </w:r>
      <w:r w:rsidRPr="001E0E93">
        <w:rPr>
          <w:rFonts w:ascii="Calibri" w:hAnsi="Calibri" w:cs="Calibri"/>
          <w:i/>
          <w:color w:val="002060"/>
          <w:szCs w:val="20"/>
          <w:lang w:eastAsia="en-US"/>
        </w:rPr>
        <w:t xml:space="preserve">ex se </w:t>
      </w:r>
      <w:r w:rsidRPr="001E0E93">
        <w:rPr>
          <w:rFonts w:ascii="Calibri" w:hAnsi="Calibri" w:cs="Calibri"/>
          <w:color w:val="002060"/>
          <w:szCs w:val="20"/>
          <w:lang w:eastAsia="en-US"/>
        </w:rPr>
        <w:t>delle eventuali donazioni ricevute dall’ereditando. Si registrano, sul punto, due diversi indirizzi. Secondo un primo orientamento (</w:t>
      </w:r>
      <w:r w:rsidRPr="001E0E93">
        <w:rPr>
          <w:rFonts w:ascii="Calibri" w:hAnsi="Calibri" w:cs="Calibri"/>
          <w:smallCaps/>
          <w:color w:val="002060"/>
          <w:szCs w:val="20"/>
          <w:lang w:val="x-none" w:eastAsia="x-none"/>
        </w:rPr>
        <w:t>L. Mengoni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Successioni per causa di morte</w:t>
      </w:r>
      <w:r w:rsidRPr="001E0E93">
        <w:rPr>
          <w:rFonts w:ascii="Calibri" w:hAnsi="Calibri" w:cs="Calibri"/>
          <w:color w:val="002060"/>
          <w:szCs w:val="20"/>
          <w:lang w:eastAsia="en-US"/>
        </w:rPr>
        <w:t>. Parte speciale</w:t>
      </w:r>
      <w:r w:rsidRPr="001E0E93">
        <w:rPr>
          <w:rFonts w:ascii="Calibri" w:hAnsi="Calibri" w:cs="Calibri"/>
          <w:i/>
          <w:color w:val="002060"/>
          <w:szCs w:val="20"/>
          <w:lang w:eastAsia="en-US"/>
        </w:rPr>
        <w:t>. Successione necessaria</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Tratt. dir. civ. e comm</w:t>
      </w:r>
      <w:r w:rsidRPr="001E0E93">
        <w:rPr>
          <w:rFonts w:ascii="Calibri" w:hAnsi="Calibri" w:cs="Calibri"/>
          <w:color w:val="002060"/>
          <w:szCs w:val="20"/>
          <w:lang w:eastAsia="en-US"/>
        </w:rPr>
        <w:t xml:space="preserve">., A </w:t>
      </w:r>
      <w:r w:rsidRPr="001E0E93">
        <w:rPr>
          <w:rFonts w:ascii="Calibri" w:hAnsi="Calibri" w:cs="Calibri"/>
          <w:smallCaps/>
          <w:color w:val="002060"/>
          <w:szCs w:val="20"/>
          <w:lang w:val="x-none" w:eastAsia="x-none"/>
        </w:rPr>
        <w:t>Cicu</w:t>
      </w:r>
      <w:r w:rsidRPr="001E0E93">
        <w:rPr>
          <w:rFonts w:ascii="Calibri" w:hAnsi="Calibri" w:cs="Calibri"/>
          <w:color w:val="002060"/>
          <w:szCs w:val="20"/>
          <w:lang w:eastAsia="en-US"/>
        </w:rPr>
        <w:t xml:space="preserve"> e F. </w:t>
      </w:r>
      <w:r w:rsidRPr="001E0E93">
        <w:rPr>
          <w:rFonts w:ascii="Calibri" w:hAnsi="Calibri" w:cs="Calibri"/>
          <w:smallCaps/>
          <w:color w:val="002060"/>
          <w:szCs w:val="20"/>
          <w:lang w:val="x-none" w:eastAsia="x-none"/>
        </w:rPr>
        <w:t xml:space="preserve">Messineo </w:t>
      </w:r>
      <w:r w:rsidRPr="001E0E93">
        <w:rPr>
          <w:rFonts w:ascii="Calibri" w:hAnsi="Calibri" w:cs="Calibri"/>
          <w:color w:val="002060"/>
          <w:szCs w:val="20"/>
          <w:lang w:eastAsia="en-US"/>
        </w:rPr>
        <w:t xml:space="preserve">(già diretto da), L. </w:t>
      </w:r>
      <w:r w:rsidRPr="001E0E93">
        <w:rPr>
          <w:rFonts w:ascii="Calibri" w:hAnsi="Calibri" w:cs="Calibri"/>
          <w:smallCaps/>
          <w:color w:val="002060"/>
          <w:szCs w:val="20"/>
          <w:lang w:val="x-none" w:eastAsia="x-none"/>
        </w:rPr>
        <w:t>Mengoni</w:t>
      </w:r>
      <w:r w:rsidRPr="001E0E93">
        <w:rPr>
          <w:rFonts w:ascii="Calibri" w:hAnsi="Calibri" w:cs="Calibri"/>
          <w:color w:val="002060"/>
          <w:szCs w:val="20"/>
          <w:lang w:eastAsia="en-US"/>
        </w:rPr>
        <w:t xml:space="preserve"> (continuato da), XVIII, 2, Milano, 2000, 195 ss.) sarebbe necessaria tale imputazione. Secondo un diverso indirizzo (</w:t>
      </w:r>
      <w:r w:rsidRPr="001E0E93">
        <w:rPr>
          <w:rFonts w:ascii="Calibri" w:hAnsi="Calibri" w:cs="Calibri"/>
          <w:smallCaps/>
          <w:color w:val="002060"/>
          <w:szCs w:val="20"/>
          <w:lang w:val="x-none" w:eastAsia="x-none"/>
        </w:rPr>
        <w:t>G. Gabrielli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Dei legittimari</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Comm. al dir. it. della famiglia</w:t>
      </w:r>
      <w:r w:rsidRPr="001E0E93">
        <w:rPr>
          <w:rFonts w:ascii="Calibri" w:hAnsi="Calibri" w:cs="Calibri"/>
          <w:color w:val="002060"/>
          <w:szCs w:val="20"/>
          <w:lang w:eastAsia="en-US"/>
        </w:rPr>
        <w:t xml:space="preserve">, </w:t>
      </w:r>
      <w:r w:rsidRPr="001E0E93">
        <w:rPr>
          <w:rFonts w:ascii="Calibri" w:hAnsi="Calibri" w:cs="Calibri"/>
          <w:smallCaps/>
          <w:color w:val="002060"/>
          <w:szCs w:val="20"/>
          <w:lang w:val="x-none" w:eastAsia="x-none"/>
        </w:rPr>
        <w:t>G. Cian</w:t>
      </w:r>
      <w:r w:rsidRPr="001E0E93">
        <w:rPr>
          <w:rFonts w:ascii="Calibri" w:hAnsi="Calibri" w:cs="Calibri"/>
          <w:color w:val="002060"/>
          <w:szCs w:val="20"/>
          <w:lang w:eastAsia="en-US"/>
        </w:rPr>
        <w:t xml:space="preserve">, </w:t>
      </w:r>
      <w:r w:rsidRPr="001E0E93">
        <w:rPr>
          <w:rFonts w:ascii="Calibri" w:hAnsi="Calibri" w:cs="Calibri"/>
          <w:smallCaps/>
          <w:color w:val="002060"/>
          <w:szCs w:val="20"/>
          <w:lang w:val="x-none" w:eastAsia="x-none"/>
        </w:rPr>
        <w:t>G. Oppo</w:t>
      </w:r>
      <w:r w:rsidRPr="001E0E93">
        <w:rPr>
          <w:rFonts w:ascii="Calibri" w:hAnsi="Calibri" w:cs="Calibri"/>
          <w:color w:val="002060"/>
          <w:szCs w:val="20"/>
          <w:lang w:eastAsia="en-US"/>
        </w:rPr>
        <w:t xml:space="preserve"> e </w:t>
      </w:r>
      <w:r w:rsidRPr="001E0E93">
        <w:rPr>
          <w:rFonts w:ascii="Calibri" w:hAnsi="Calibri" w:cs="Calibri"/>
          <w:smallCaps/>
          <w:color w:val="002060"/>
          <w:szCs w:val="20"/>
          <w:lang w:val="x-none" w:eastAsia="x-none"/>
        </w:rPr>
        <w:t>A. Trabucchi</w:t>
      </w:r>
      <w:r w:rsidRPr="001E0E93">
        <w:rPr>
          <w:rFonts w:ascii="Calibri" w:hAnsi="Calibri" w:cs="Calibri"/>
          <w:color w:val="002060"/>
          <w:szCs w:val="20"/>
          <w:lang w:eastAsia="en-US"/>
        </w:rPr>
        <w:t xml:space="preserve">, Padova, 1992, 92) essa è deve essere esclusa in considerazione della natura alimentare dell’assegno in questione. Mentre, prevale in dottrina l’indirizzo secondo il quale, pur trattandosi di diritto di riserva, il coniuge separato con addebito debba fare ricorso per conseguire tale diritto non all’azione di riduzione ma alle azioni normalmente attivabili per conseguire </w:t>
      </w:r>
      <w:r w:rsidRPr="001E0E93">
        <w:rPr>
          <w:rFonts w:ascii="Calibri" w:hAnsi="Calibri" w:cs="Calibri"/>
          <w:color w:val="002060"/>
          <w:szCs w:val="20"/>
          <w:lang w:eastAsia="en-US"/>
        </w:rPr>
        <w:lastRenderedPageBreak/>
        <w:t xml:space="preserve">un credito (per tutti, </w:t>
      </w:r>
      <w:r w:rsidRPr="001E0E93">
        <w:rPr>
          <w:rFonts w:ascii="Calibri" w:hAnsi="Calibri" w:cs="Calibri"/>
          <w:smallCaps/>
          <w:color w:val="002060"/>
          <w:szCs w:val="20"/>
          <w:lang w:val="x-none" w:eastAsia="x-none"/>
        </w:rPr>
        <w:t>M. Costanza</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Osservazioni in tema di successione del coniuge separato</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 xml:space="preserve">Riv. trim. dir. proc. </w:t>
      </w:r>
      <w:proofErr w:type="gramStart"/>
      <w:r w:rsidRPr="001E0E93">
        <w:rPr>
          <w:rFonts w:ascii="Calibri" w:hAnsi="Calibri" w:cs="Calibri"/>
          <w:i/>
          <w:color w:val="002060"/>
          <w:szCs w:val="20"/>
          <w:lang w:eastAsia="en-US"/>
        </w:rPr>
        <w:t>civ</w:t>
      </w:r>
      <w:r w:rsidRPr="001E0E93">
        <w:rPr>
          <w:rFonts w:ascii="Calibri" w:hAnsi="Calibri" w:cs="Calibri"/>
          <w:color w:val="002060"/>
          <w:szCs w:val="20"/>
          <w:lang w:eastAsia="en-US"/>
        </w:rPr>
        <w:t>.,</w:t>
      </w:r>
      <w:proofErr w:type="gramEnd"/>
      <w:r w:rsidRPr="001E0E93">
        <w:rPr>
          <w:rFonts w:ascii="Calibri" w:hAnsi="Calibri" w:cs="Calibri"/>
          <w:color w:val="002060"/>
          <w:szCs w:val="20"/>
          <w:lang w:eastAsia="en-US"/>
        </w:rPr>
        <w:t xml:space="preserve"> 1978, 79; </w:t>
      </w:r>
      <w:r w:rsidRPr="001E0E93">
        <w:rPr>
          <w:rFonts w:ascii="Calibri" w:hAnsi="Calibri" w:cs="Calibri"/>
          <w:smallCaps/>
          <w:color w:val="002060"/>
          <w:szCs w:val="20"/>
          <w:lang w:val="x-none" w:eastAsia="x-none"/>
        </w:rPr>
        <w:t>A. Marini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Sull’assegno vitalizio al coniuge separato</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 xml:space="preserve">Riv. dir. </w:t>
      </w:r>
      <w:proofErr w:type="gramStart"/>
      <w:r w:rsidRPr="001E0E93">
        <w:rPr>
          <w:rFonts w:ascii="Calibri" w:hAnsi="Calibri" w:cs="Calibri"/>
          <w:i/>
          <w:color w:val="002060"/>
          <w:szCs w:val="20"/>
          <w:lang w:eastAsia="en-US"/>
        </w:rPr>
        <w:t>civ</w:t>
      </w:r>
      <w:r w:rsidRPr="001E0E93">
        <w:rPr>
          <w:rFonts w:ascii="Calibri" w:hAnsi="Calibri" w:cs="Calibri"/>
          <w:color w:val="002060"/>
          <w:szCs w:val="20"/>
          <w:lang w:eastAsia="en-US"/>
        </w:rPr>
        <w:t>.,</w:t>
      </w:r>
      <w:proofErr w:type="gramEnd"/>
      <w:r w:rsidRPr="001E0E93">
        <w:rPr>
          <w:rFonts w:ascii="Calibri" w:hAnsi="Calibri" w:cs="Calibri"/>
          <w:color w:val="002060"/>
          <w:szCs w:val="20"/>
          <w:lang w:eastAsia="en-US"/>
        </w:rPr>
        <w:t xml:space="preserve"> 1977, II, 329 ss.; </w:t>
      </w:r>
      <w:r w:rsidRPr="001E0E93">
        <w:rPr>
          <w:rFonts w:ascii="Calibri" w:hAnsi="Calibri" w:cs="Calibri"/>
          <w:smallCaps/>
          <w:color w:val="002060"/>
          <w:szCs w:val="20"/>
          <w:lang w:val="x-none" w:eastAsia="x-none"/>
        </w:rPr>
        <w:t>Id</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Assegno vitalizio al coniuge separato e tutela del legittimario</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Dir. e giur</w:t>
      </w:r>
      <w:r w:rsidRPr="001E0E93">
        <w:rPr>
          <w:rFonts w:ascii="Calibri" w:hAnsi="Calibri" w:cs="Calibri"/>
          <w:color w:val="002060"/>
          <w:szCs w:val="20"/>
          <w:lang w:eastAsia="en-US"/>
        </w:rPr>
        <w:t>., 1978, 33 ss</w:t>
      </w:r>
      <w:r w:rsidRPr="001E0E93">
        <w:rPr>
          <w:rFonts w:ascii="Calibri" w:hAnsi="Calibri" w:cs="Calibri"/>
          <w:smallCaps/>
          <w:color w:val="002060"/>
          <w:szCs w:val="20"/>
          <w:lang w:val="x-none" w:eastAsia="x-none"/>
        </w:rPr>
        <w:t>.; L. Mezzanotte</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La successione anomala del coniuge</w:t>
      </w:r>
      <w:r w:rsidRPr="001E0E93">
        <w:rPr>
          <w:rFonts w:ascii="Calibri" w:hAnsi="Calibri" w:cs="Calibri"/>
          <w:color w:val="002060"/>
          <w:szCs w:val="20"/>
          <w:lang w:eastAsia="en-US"/>
        </w:rPr>
        <w:t xml:space="preserve">, Napoli, 1989, 94 ss.; </w:t>
      </w:r>
      <w:r w:rsidRPr="001E0E93">
        <w:rPr>
          <w:rFonts w:ascii="Calibri" w:hAnsi="Calibri" w:cs="Calibri"/>
          <w:smallCaps/>
          <w:color w:val="002060"/>
          <w:szCs w:val="20"/>
          <w:lang w:val="x-none" w:eastAsia="x-none"/>
        </w:rPr>
        <w:t>G. F. Basini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I diritti successori del coniuge separato, in Il diritto delle successioni: successione e diritti del coniuge superstite e del convivente</w:t>
      </w:r>
      <w:r w:rsidRPr="001E0E93">
        <w:rPr>
          <w:rFonts w:ascii="Calibri" w:hAnsi="Calibri" w:cs="Calibri"/>
          <w:color w:val="002060"/>
          <w:szCs w:val="20"/>
          <w:lang w:eastAsia="en-US"/>
        </w:rPr>
        <w:t xml:space="preserve"> more uxorio, </w:t>
      </w:r>
      <w:r w:rsidRPr="001E0E93">
        <w:rPr>
          <w:rFonts w:ascii="Calibri" w:hAnsi="Calibri" w:cs="Calibri"/>
          <w:smallCaps/>
          <w:color w:val="002060"/>
          <w:szCs w:val="20"/>
          <w:lang w:val="x-none" w:eastAsia="x-none"/>
        </w:rPr>
        <w:t>G. Bonilini</w:t>
      </w:r>
      <w:r w:rsidRPr="001E0E93">
        <w:rPr>
          <w:rFonts w:ascii="Calibri" w:hAnsi="Calibri" w:cs="Calibri"/>
          <w:color w:val="002060"/>
          <w:szCs w:val="20"/>
          <w:lang w:eastAsia="en-US"/>
        </w:rPr>
        <w:t xml:space="preserve"> (diretto da), Torino, 2004, 215 ss.. Diversamente, </w:t>
      </w:r>
      <w:r w:rsidRPr="001E0E93">
        <w:rPr>
          <w:rFonts w:ascii="Calibri" w:hAnsi="Calibri" w:cs="Calibri"/>
          <w:smallCaps/>
          <w:color w:val="002060"/>
          <w:szCs w:val="20"/>
          <w:lang w:val="x-none" w:eastAsia="x-none"/>
        </w:rPr>
        <w:t>A. Mirone</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I diritti successori del coniuge</w:t>
      </w:r>
      <w:r w:rsidRPr="001E0E93">
        <w:rPr>
          <w:rFonts w:ascii="Calibri" w:hAnsi="Calibri" w:cs="Calibri"/>
          <w:color w:val="002060"/>
          <w:szCs w:val="20"/>
          <w:lang w:eastAsia="en-US"/>
        </w:rPr>
        <w:t xml:space="preserve">, Napoli, 1992, 244). «Tecnicamente, l’assegno è traslativo, ma attribuisce un diritto di credito, che matura all’apertura della successione. Di conseguenza, è opinione largamente prevalente che per la tutela del suo diritto il coniuge non dovrà esperire l’azione di riduzione, ma servirsi degli ordinari mezzi di tutela del credito, e precisamente di una normale azione di accertamento e di condanna» </w:t>
      </w:r>
      <w:r w:rsidRPr="001E0E93">
        <w:rPr>
          <w:rFonts w:ascii="Calibri" w:hAnsi="Calibri" w:cs="Calibri"/>
          <w:smallCaps/>
          <w:color w:val="002060"/>
          <w:szCs w:val="20"/>
          <w:lang w:val="x-none" w:eastAsia="x-none"/>
        </w:rPr>
        <w:t>C. Carbone</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Nuovissimi casi notarili</w:t>
      </w:r>
      <w:r w:rsidRPr="001E0E93">
        <w:rPr>
          <w:rFonts w:ascii="Calibri" w:hAnsi="Calibri" w:cs="Calibri"/>
          <w:color w:val="002060"/>
          <w:szCs w:val="20"/>
          <w:lang w:eastAsia="en-US"/>
        </w:rPr>
        <w:t>, Mortis causa, Vol. IV, Napoli, 2011, 263-264.</w:t>
      </w:r>
    </w:p>
    <w:p w:rsidR="00FF3AD4" w:rsidRPr="001E0E93" w:rsidRDefault="00FF3AD4" w:rsidP="00FF3AD4">
      <w:pPr>
        <w:numPr>
          <w:ilvl w:val="0"/>
          <w:numId w:val="5"/>
        </w:numPr>
        <w:spacing w:line="240" w:lineRule="auto"/>
        <w:ind w:left="567" w:hanging="425"/>
        <w:rPr>
          <w:rFonts w:ascii="Calibri" w:hAnsi="Calibri" w:cs="Calibri"/>
          <w:color w:val="002060"/>
          <w:szCs w:val="20"/>
          <w:lang w:eastAsia="en-US"/>
        </w:rPr>
      </w:pPr>
      <w:r w:rsidRPr="001E0E93">
        <w:rPr>
          <w:rFonts w:ascii="Calibri" w:hAnsi="Calibri" w:cs="Calibri"/>
          <w:smallCaps/>
          <w:color w:val="002060"/>
          <w:szCs w:val="20"/>
          <w:lang w:val="x-none" w:eastAsia="x-none"/>
        </w:rPr>
        <w:t>G. F. Basini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I diritti successori del coniuge separato. L’assegno vitalizio</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Fam. per. succ</w:t>
      </w:r>
      <w:r w:rsidRPr="001E0E93">
        <w:rPr>
          <w:rFonts w:ascii="Calibri" w:hAnsi="Calibri" w:cs="Calibri"/>
          <w:color w:val="002060"/>
          <w:szCs w:val="20"/>
          <w:lang w:eastAsia="en-US"/>
        </w:rPr>
        <w:t xml:space="preserve">., 2008, 262. Cfr., anche, </w:t>
      </w:r>
      <w:r w:rsidRPr="001E0E93">
        <w:rPr>
          <w:rFonts w:ascii="Calibri" w:hAnsi="Calibri" w:cs="Calibri"/>
          <w:smallCaps/>
          <w:color w:val="002060"/>
          <w:szCs w:val="20"/>
          <w:lang w:val="x-none" w:eastAsia="x-none"/>
        </w:rPr>
        <w:t>Id</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L’esclusione del coniuge separato con addebito dai diritti successorii “pieni”</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Fam. pers. e succ</w:t>
      </w:r>
      <w:r w:rsidRPr="001E0E93">
        <w:rPr>
          <w:rFonts w:ascii="Calibri" w:hAnsi="Calibri" w:cs="Calibri"/>
          <w:color w:val="002060"/>
          <w:szCs w:val="20"/>
          <w:lang w:eastAsia="en-US"/>
        </w:rPr>
        <w:t xml:space="preserve">., 2008, 163; </w:t>
      </w:r>
      <w:r w:rsidRPr="001E0E93">
        <w:rPr>
          <w:rFonts w:ascii="Calibri" w:hAnsi="Calibri" w:cs="Calibri"/>
          <w:smallCaps/>
          <w:color w:val="002060"/>
          <w:szCs w:val="20"/>
          <w:lang w:val="x-none" w:eastAsia="x-none"/>
        </w:rPr>
        <w:t>Id.</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I diritti successori del coniuge separato, in Il diritto delle successioni: successione e diritti del coniuge superstite e del convivente</w:t>
      </w:r>
      <w:r w:rsidRPr="001E0E93">
        <w:rPr>
          <w:rFonts w:ascii="Calibri" w:hAnsi="Calibri" w:cs="Calibri"/>
          <w:color w:val="002060"/>
          <w:szCs w:val="20"/>
          <w:lang w:eastAsia="en-US"/>
        </w:rPr>
        <w:t xml:space="preserve"> more uxorio, </w:t>
      </w:r>
      <w:r w:rsidRPr="001E0E93">
        <w:rPr>
          <w:rFonts w:ascii="Calibri" w:hAnsi="Calibri" w:cs="Calibri"/>
          <w:smallCaps/>
          <w:color w:val="002060"/>
          <w:szCs w:val="20"/>
          <w:lang w:val="x-none" w:eastAsia="x-none"/>
        </w:rPr>
        <w:t>G. Bonilini</w:t>
      </w:r>
      <w:r w:rsidRPr="001E0E93">
        <w:rPr>
          <w:rFonts w:ascii="Calibri" w:hAnsi="Calibri" w:cs="Calibri"/>
          <w:color w:val="002060"/>
          <w:szCs w:val="20"/>
          <w:lang w:eastAsia="en-US"/>
        </w:rPr>
        <w:t xml:space="preserve"> (diretto da), Torino, 2004, 181 </w:t>
      </w:r>
      <w:proofErr w:type="gramStart"/>
      <w:r w:rsidRPr="001E0E93">
        <w:rPr>
          <w:rFonts w:ascii="Calibri" w:hAnsi="Calibri" w:cs="Calibri"/>
          <w:color w:val="002060"/>
          <w:szCs w:val="20"/>
          <w:lang w:eastAsia="en-US"/>
        </w:rPr>
        <w:t>ss..</w:t>
      </w:r>
      <w:proofErr w:type="gramEnd"/>
    </w:p>
    <w:p w:rsidR="00FF3AD4" w:rsidRPr="001E0E93" w:rsidRDefault="00FF3AD4" w:rsidP="00FF3AD4">
      <w:pPr>
        <w:numPr>
          <w:ilvl w:val="0"/>
          <w:numId w:val="5"/>
        </w:numPr>
        <w:spacing w:line="240" w:lineRule="auto"/>
        <w:ind w:left="567" w:hanging="425"/>
        <w:rPr>
          <w:rFonts w:ascii="Calibri" w:hAnsi="Calibri" w:cs="Calibri"/>
          <w:color w:val="002060"/>
          <w:szCs w:val="20"/>
          <w:lang w:eastAsia="en-US"/>
        </w:rPr>
      </w:pPr>
      <w:r w:rsidRPr="001E0E93">
        <w:rPr>
          <w:rFonts w:ascii="Calibri" w:hAnsi="Calibri" w:cs="Calibri"/>
          <w:smallCaps/>
          <w:color w:val="002060"/>
          <w:szCs w:val="20"/>
          <w:lang w:val="x-none" w:eastAsia="x-none"/>
        </w:rPr>
        <w:t>A. Tullio</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La successione necessaria</w:t>
      </w:r>
      <w:r w:rsidRPr="001E0E93">
        <w:rPr>
          <w:rFonts w:ascii="Calibri" w:hAnsi="Calibri" w:cs="Calibri"/>
          <w:color w:val="002060"/>
          <w:szCs w:val="20"/>
          <w:lang w:eastAsia="en-US"/>
        </w:rPr>
        <w:t>, Torino, 2012, 96: «alla qualificazione dell’assegno quale diritto di riserva ostano, inoltre, sia la mera eventualità della sua attribuzione, condizionata alla fruizione, da parte del coniuge superstite, degli alimenti, sia l’impossibilità di determinarne, al momento dell’apertura della successione, l’ammontare. Di contro, la quota di legittima spetta sempre e comunque agli eredi necessari; non può essere subordinata a condizioni, e la misura della porzione di riserva è fissata, in una frazione dell’asse ereditario, dagli artt. 536 ss. cc.».</w:t>
      </w:r>
    </w:p>
    <w:p w:rsidR="00FF3AD4" w:rsidRPr="001E0E93" w:rsidRDefault="00FF3AD4" w:rsidP="00FF3AD4">
      <w:pPr>
        <w:numPr>
          <w:ilvl w:val="0"/>
          <w:numId w:val="5"/>
        </w:numPr>
        <w:spacing w:line="240" w:lineRule="auto"/>
        <w:ind w:left="567" w:hanging="425"/>
        <w:rPr>
          <w:rFonts w:ascii="Calibri" w:hAnsi="Calibri" w:cs="Calibri"/>
          <w:color w:val="002060"/>
          <w:szCs w:val="20"/>
          <w:lang w:eastAsia="en-US"/>
        </w:rPr>
      </w:pPr>
      <w:r w:rsidRPr="001E0E93">
        <w:rPr>
          <w:rFonts w:ascii="Calibri" w:hAnsi="Calibri" w:cs="Calibri"/>
          <w:color w:val="002060"/>
          <w:szCs w:val="20"/>
          <w:lang w:eastAsia="en-US"/>
        </w:rPr>
        <w:t xml:space="preserve">Per una attenta ricognizione degli orientamenti in commento, per tutti, </w:t>
      </w:r>
      <w:r w:rsidRPr="001E0E93">
        <w:rPr>
          <w:rFonts w:ascii="Calibri" w:hAnsi="Calibri" w:cs="Calibri"/>
          <w:smallCaps/>
          <w:color w:val="002060"/>
          <w:szCs w:val="20"/>
          <w:lang w:val="x-none" w:eastAsia="x-none"/>
        </w:rPr>
        <w:t>G. Capozzi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Successioni e donazioni</w:t>
      </w:r>
      <w:r w:rsidRPr="001E0E93">
        <w:rPr>
          <w:rFonts w:ascii="Calibri" w:hAnsi="Calibri" w:cs="Calibri"/>
          <w:color w:val="002060"/>
          <w:szCs w:val="20"/>
          <w:lang w:eastAsia="en-US"/>
        </w:rPr>
        <w:t xml:space="preserve">, A. </w:t>
      </w:r>
      <w:r w:rsidRPr="001E0E93">
        <w:rPr>
          <w:rFonts w:ascii="Calibri" w:hAnsi="Calibri" w:cs="Calibri"/>
          <w:smallCaps/>
          <w:color w:val="002060"/>
          <w:szCs w:val="20"/>
          <w:lang w:val="x-none" w:eastAsia="x-none"/>
        </w:rPr>
        <w:t>Ferrucci</w:t>
      </w:r>
      <w:r w:rsidRPr="001E0E93">
        <w:rPr>
          <w:rFonts w:ascii="Calibri" w:hAnsi="Calibri" w:cs="Calibri"/>
          <w:color w:val="002060"/>
          <w:szCs w:val="20"/>
          <w:lang w:eastAsia="en-US"/>
        </w:rPr>
        <w:t xml:space="preserve"> e </w:t>
      </w:r>
      <w:r w:rsidRPr="001E0E93">
        <w:rPr>
          <w:rFonts w:ascii="Calibri" w:hAnsi="Calibri" w:cs="Calibri"/>
          <w:smallCaps/>
          <w:color w:val="002060"/>
          <w:szCs w:val="20"/>
          <w:lang w:val="x-none" w:eastAsia="x-none"/>
        </w:rPr>
        <w:t>C. Ferrentino</w:t>
      </w:r>
      <w:r w:rsidRPr="001E0E93">
        <w:rPr>
          <w:rFonts w:ascii="Calibri" w:hAnsi="Calibri" w:cs="Calibri"/>
          <w:color w:val="002060"/>
          <w:szCs w:val="20"/>
          <w:lang w:eastAsia="en-US"/>
        </w:rPr>
        <w:t xml:space="preserve"> (a cura di), Milano, 2009, 415; </w:t>
      </w:r>
      <w:r w:rsidRPr="001E0E93">
        <w:rPr>
          <w:rFonts w:ascii="Calibri" w:hAnsi="Calibri" w:cs="Calibri"/>
          <w:smallCaps/>
          <w:color w:val="002060"/>
          <w:szCs w:val="20"/>
          <w:lang w:val="x-none" w:eastAsia="x-none"/>
        </w:rPr>
        <w:t>A. Ferrucci</w:t>
      </w:r>
      <w:r w:rsidRPr="001E0E93">
        <w:rPr>
          <w:rFonts w:ascii="Calibri" w:hAnsi="Calibri" w:cs="Calibri"/>
          <w:color w:val="002060"/>
          <w:szCs w:val="20"/>
          <w:lang w:eastAsia="en-US"/>
        </w:rPr>
        <w:t xml:space="preserve"> e </w:t>
      </w:r>
      <w:r w:rsidRPr="001E0E93">
        <w:rPr>
          <w:rFonts w:ascii="Calibri" w:hAnsi="Calibri" w:cs="Calibri"/>
          <w:smallCaps/>
          <w:color w:val="002060"/>
          <w:szCs w:val="20"/>
          <w:lang w:val="x-none" w:eastAsia="x-none"/>
        </w:rPr>
        <w:t>C. Ferrentino</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Atti</w:t>
      </w:r>
      <w:r w:rsidRPr="001E0E93">
        <w:rPr>
          <w:rFonts w:ascii="Calibri" w:hAnsi="Calibri" w:cs="Calibri"/>
          <w:color w:val="002060"/>
          <w:szCs w:val="20"/>
          <w:lang w:eastAsia="en-US"/>
        </w:rPr>
        <w:t xml:space="preserve"> mortis causa, Milano, 2010, 456 ss.; </w:t>
      </w:r>
      <w:r w:rsidRPr="001E0E93">
        <w:rPr>
          <w:rFonts w:ascii="Calibri" w:hAnsi="Calibri" w:cs="Calibri"/>
          <w:smallCaps/>
          <w:color w:val="002060"/>
          <w:szCs w:val="20"/>
          <w:lang w:val="x-none" w:eastAsia="x-none"/>
        </w:rPr>
        <w:t>G. F. Basini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I diritti successori del coniuge separato. L’assegno vitalizio</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Fam. per. succ</w:t>
      </w:r>
      <w:r w:rsidRPr="001E0E93">
        <w:rPr>
          <w:rFonts w:ascii="Calibri" w:hAnsi="Calibri" w:cs="Calibri"/>
          <w:color w:val="002060"/>
          <w:szCs w:val="20"/>
          <w:lang w:eastAsia="en-US"/>
        </w:rPr>
        <w:t xml:space="preserve">., 2008, 262. Cfr., anche, </w:t>
      </w:r>
      <w:r w:rsidRPr="001E0E93">
        <w:rPr>
          <w:rFonts w:ascii="Calibri" w:hAnsi="Calibri" w:cs="Calibri"/>
          <w:smallCaps/>
          <w:color w:val="002060"/>
          <w:szCs w:val="20"/>
          <w:lang w:val="x-none" w:eastAsia="x-none"/>
        </w:rPr>
        <w:t>Id</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L’esclusione del coniuge separato con addebito dai diritti successorii “pieni”</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Fam. pers. e succ</w:t>
      </w:r>
      <w:r w:rsidRPr="001E0E93">
        <w:rPr>
          <w:rFonts w:ascii="Calibri" w:hAnsi="Calibri" w:cs="Calibri"/>
          <w:color w:val="002060"/>
          <w:szCs w:val="20"/>
          <w:lang w:eastAsia="en-US"/>
        </w:rPr>
        <w:t xml:space="preserve">., 2008, 163; </w:t>
      </w:r>
      <w:r w:rsidRPr="001E0E93">
        <w:rPr>
          <w:rFonts w:ascii="Calibri" w:hAnsi="Calibri" w:cs="Calibri"/>
          <w:smallCaps/>
          <w:color w:val="002060"/>
          <w:szCs w:val="20"/>
          <w:lang w:val="x-none" w:eastAsia="x-none"/>
        </w:rPr>
        <w:t>Id.</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I diritti successori del coniuge separato, in Il diritto delle successioni: successione e diritti del coniuge superstite e del convivente</w:t>
      </w:r>
      <w:r w:rsidRPr="001E0E93">
        <w:rPr>
          <w:rFonts w:ascii="Calibri" w:hAnsi="Calibri" w:cs="Calibri"/>
          <w:color w:val="002060"/>
          <w:szCs w:val="20"/>
          <w:lang w:eastAsia="en-US"/>
        </w:rPr>
        <w:t xml:space="preserve"> more uxorio, </w:t>
      </w:r>
      <w:r w:rsidRPr="001E0E93">
        <w:rPr>
          <w:rFonts w:ascii="Calibri" w:hAnsi="Calibri" w:cs="Calibri"/>
          <w:smallCaps/>
          <w:color w:val="002060"/>
          <w:szCs w:val="20"/>
          <w:lang w:val="x-none" w:eastAsia="x-none"/>
        </w:rPr>
        <w:t>G. Bonilini</w:t>
      </w:r>
      <w:r w:rsidRPr="001E0E93">
        <w:rPr>
          <w:rFonts w:ascii="Calibri" w:hAnsi="Calibri" w:cs="Calibri"/>
          <w:color w:val="002060"/>
          <w:szCs w:val="20"/>
          <w:lang w:eastAsia="en-US"/>
        </w:rPr>
        <w:t xml:space="preserve"> (diretto da), Torino, 2004, 181 ss.</w:t>
      </w:r>
    </w:p>
    <w:p w:rsidR="00FF3AD4" w:rsidRPr="001E0E93" w:rsidRDefault="00FF3AD4" w:rsidP="00FF3AD4">
      <w:pPr>
        <w:numPr>
          <w:ilvl w:val="0"/>
          <w:numId w:val="5"/>
        </w:numPr>
        <w:spacing w:line="240" w:lineRule="auto"/>
        <w:ind w:left="567" w:hanging="425"/>
        <w:rPr>
          <w:rFonts w:ascii="Calibri" w:hAnsi="Calibri" w:cs="Calibri"/>
          <w:color w:val="002060"/>
          <w:szCs w:val="20"/>
          <w:lang w:eastAsia="en-US"/>
        </w:rPr>
      </w:pPr>
      <w:r w:rsidRPr="001E0E93">
        <w:rPr>
          <w:rFonts w:ascii="Calibri" w:hAnsi="Calibri" w:cs="Calibri"/>
          <w:smallCaps/>
          <w:color w:val="002060"/>
          <w:szCs w:val="20"/>
          <w:lang w:val="x-none" w:eastAsia="x-none"/>
        </w:rPr>
        <w:t>A. Tullio</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La successione necessaria</w:t>
      </w:r>
      <w:r w:rsidRPr="001E0E93">
        <w:rPr>
          <w:rFonts w:ascii="Calibri" w:hAnsi="Calibri" w:cs="Calibri"/>
          <w:color w:val="002060"/>
          <w:szCs w:val="20"/>
          <w:lang w:eastAsia="en-US"/>
        </w:rPr>
        <w:t>, Torino, 2012, 93.</w:t>
      </w:r>
    </w:p>
    <w:p w:rsidR="00FF3AD4" w:rsidRPr="001E0E93" w:rsidRDefault="00FF3AD4" w:rsidP="00FF3AD4">
      <w:pPr>
        <w:numPr>
          <w:ilvl w:val="0"/>
          <w:numId w:val="5"/>
        </w:numPr>
        <w:spacing w:line="240" w:lineRule="auto"/>
        <w:ind w:left="567" w:hanging="425"/>
        <w:rPr>
          <w:rFonts w:ascii="Calibri" w:hAnsi="Calibri" w:cs="Calibri"/>
          <w:color w:val="002060"/>
          <w:szCs w:val="20"/>
          <w:lang w:eastAsia="en-US"/>
        </w:rPr>
      </w:pPr>
      <w:r w:rsidRPr="001E0E93">
        <w:rPr>
          <w:rFonts w:ascii="Calibri" w:hAnsi="Calibri" w:cs="Calibri"/>
          <w:smallCaps/>
          <w:color w:val="002060"/>
          <w:szCs w:val="20"/>
          <w:lang w:val="x-none" w:eastAsia="x-none"/>
        </w:rPr>
        <w:t>C. Carbone</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Nuovissimi casi notarili</w:t>
      </w:r>
      <w:r w:rsidRPr="001E0E93">
        <w:rPr>
          <w:rFonts w:ascii="Calibri" w:hAnsi="Calibri" w:cs="Calibri"/>
          <w:color w:val="002060"/>
          <w:szCs w:val="20"/>
          <w:lang w:eastAsia="en-US"/>
        </w:rPr>
        <w:t xml:space="preserve">, Mortis causa, Vol. IV, Napoli, 2011, 263-264. «Si afferma, altresì, che il presupposto dovrebbe potersi individuare solo nel godimento di un assegno periodico, mentre esso non sarebbe integrato da una assegnazione </w:t>
      </w:r>
      <w:r w:rsidRPr="001E0E93">
        <w:rPr>
          <w:rFonts w:ascii="Calibri" w:hAnsi="Calibri" w:cs="Calibri"/>
          <w:i/>
          <w:color w:val="002060"/>
          <w:szCs w:val="20"/>
          <w:lang w:eastAsia="en-US"/>
        </w:rPr>
        <w:t>una tantum</w:t>
      </w:r>
      <w:r w:rsidRPr="001E0E93">
        <w:rPr>
          <w:rFonts w:ascii="Calibri" w:hAnsi="Calibri" w:cs="Calibri"/>
          <w:color w:val="002060"/>
          <w:szCs w:val="20"/>
          <w:lang w:eastAsia="en-US"/>
        </w:rPr>
        <w:t xml:space="preserve">, e, dunque, eccezionale, anche perché, in tal caso, l’effetto dell’arricchimento del patrimonio del sopravvissuto, che il legislatore perseguirebbe con la disposizione in esame, già si sarebbe prodotto» </w:t>
      </w:r>
      <w:r w:rsidRPr="001E0E93">
        <w:rPr>
          <w:rFonts w:ascii="Calibri" w:hAnsi="Calibri" w:cs="Calibri"/>
          <w:smallCaps/>
          <w:color w:val="002060"/>
          <w:szCs w:val="20"/>
          <w:lang w:val="x-none" w:eastAsia="x-none"/>
        </w:rPr>
        <w:t>G. F. Basini</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I diritti successori del coniuge separato. L’assegno vitalizio</w:t>
      </w:r>
      <w:r w:rsidRPr="001E0E93">
        <w:rPr>
          <w:rFonts w:ascii="Calibri" w:hAnsi="Calibri" w:cs="Calibri"/>
          <w:color w:val="002060"/>
          <w:szCs w:val="20"/>
          <w:lang w:eastAsia="en-US"/>
        </w:rPr>
        <w:t xml:space="preserve">, in </w:t>
      </w:r>
      <w:r w:rsidRPr="001E0E93">
        <w:rPr>
          <w:rFonts w:ascii="Calibri" w:hAnsi="Calibri" w:cs="Calibri"/>
          <w:i/>
          <w:color w:val="002060"/>
          <w:szCs w:val="20"/>
          <w:lang w:eastAsia="en-US"/>
        </w:rPr>
        <w:t>Fam. per. succ</w:t>
      </w:r>
      <w:r w:rsidRPr="001E0E93">
        <w:rPr>
          <w:rFonts w:ascii="Calibri" w:hAnsi="Calibri" w:cs="Calibri"/>
          <w:color w:val="002060"/>
          <w:szCs w:val="20"/>
          <w:lang w:eastAsia="en-US"/>
        </w:rPr>
        <w:t xml:space="preserve">., 2008, 262. Così, già, A. e </w:t>
      </w:r>
      <w:r w:rsidRPr="001E0E93">
        <w:rPr>
          <w:rFonts w:ascii="Calibri" w:hAnsi="Calibri" w:cs="Calibri"/>
          <w:smallCaps/>
          <w:color w:val="002060"/>
          <w:szCs w:val="20"/>
          <w:lang w:val="x-none" w:eastAsia="x-none"/>
        </w:rPr>
        <w:t>M. Finocchiaro</w:t>
      </w:r>
      <w:r w:rsidRPr="001E0E93">
        <w:rPr>
          <w:rFonts w:ascii="Calibri" w:hAnsi="Calibri" w:cs="Calibri"/>
          <w:color w:val="002060"/>
          <w:szCs w:val="20"/>
          <w:lang w:eastAsia="en-US"/>
        </w:rPr>
        <w:t xml:space="preserve">, </w:t>
      </w:r>
      <w:r w:rsidRPr="001E0E93">
        <w:rPr>
          <w:rFonts w:ascii="Calibri" w:hAnsi="Calibri" w:cs="Calibri"/>
          <w:i/>
          <w:color w:val="002060"/>
          <w:szCs w:val="20"/>
          <w:lang w:eastAsia="en-US"/>
        </w:rPr>
        <w:t>Diritto di famiglia</w:t>
      </w:r>
      <w:r w:rsidRPr="001E0E93">
        <w:rPr>
          <w:rFonts w:ascii="Calibri" w:hAnsi="Calibri" w:cs="Calibri"/>
          <w:color w:val="002060"/>
          <w:szCs w:val="20"/>
          <w:lang w:eastAsia="en-US"/>
        </w:rPr>
        <w:t xml:space="preserve">, II, Milano, 1984, 2320. </w:t>
      </w:r>
    </w:p>
    <w:p w:rsidR="001328BE" w:rsidRPr="00AC49BF" w:rsidRDefault="001328BE" w:rsidP="00FF3AD4"/>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1758474D"/>
    <w:multiLevelType w:val="hybridMultilevel"/>
    <w:tmpl w:val="53D0C396"/>
    <w:lvl w:ilvl="0" w:tplc="D36088F6">
      <w:start w:val="1"/>
      <w:numFmt w:val="decimal"/>
      <w:lvlText w:val="%1)"/>
      <w:lvlJc w:val="left"/>
      <w:pPr>
        <w:ind w:left="720" w:hanging="360"/>
      </w:pPr>
      <w:rPr>
        <w:rFonts w:cs="Times New Roman" w:hint="default"/>
        <w:b/>
        <w:i w:val="0"/>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D4"/>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3AD4"/>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B413C-68E5-4C09-B16A-51AC4A33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3AD4"/>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1834</Words>
  <Characters>10458</Characters>
  <Application>Microsoft Office Word</Application>
  <DocSecurity>0</DocSecurity>
  <Lines>87</Lines>
  <Paragraphs>24</Paragraphs>
  <ScaleCrop>false</ScaleCrop>
  <Company/>
  <LinksUpToDate>false</LinksUpToDate>
  <CharactersWithSpaces>12268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2015-03-20T19:09:00Z</dcterms:created>
  <dcterms:modified xsi:type="dcterms:W3CDTF">2015-03-20T19:10:00Z</dcterms:modified>
</cp:coreProperties>
</file>