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AAF" w:rsidRPr="009D3C25" w:rsidRDefault="00666AAF" w:rsidP="00666AAF">
      <w:pPr>
        <w:widowControl w:val="0"/>
        <w:tabs>
          <w:tab w:val="left" w:pos="1418"/>
        </w:tabs>
        <w:spacing w:line="240" w:lineRule="auto"/>
        <w:ind w:firstLine="0"/>
        <w:rPr>
          <w:rFonts w:ascii="Calibri" w:hAnsi="Calibri"/>
          <w:b/>
          <w:color w:val="002060"/>
          <w:sz w:val="24"/>
        </w:rPr>
      </w:pPr>
      <w:bookmarkStart w:id="0" w:name="Quesito"/>
      <w:bookmarkStart w:id="1" w:name="_GoBack"/>
      <w:bookmarkEnd w:id="1"/>
      <w:r w:rsidRPr="009D3C25">
        <w:rPr>
          <w:rFonts w:ascii="Calibri" w:hAnsi="Calibri"/>
          <w:b/>
          <w:color w:val="002060"/>
          <w:sz w:val="24"/>
        </w:rPr>
        <w:t xml:space="preserve">Quesito </w:t>
      </w:r>
      <w:bookmarkEnd w:id="0"/>
      <w:r w:rsidRPr="009D3C25">
        <w:rPr>
          <w:rFonts w:ascii="Calibri" w:hAnsi="Calibri"/>
          <w:b/>
          <w:color w:val="002060"/>
          <w:sz w:val="24"/>
        </w:rPr>
        <w:t xml:space="preserve">Civilistico n. </w:t>
      </w:r>
      <w:r>
        <w:rPr>
          <w:rFonts w:ascii="Calibri" w:hAnsi="Calibri"/>
          <w:b/>
          <w:color w:val="002060"/>
          <w:sz w:val="24"/>
        </w:rPr>
        <w:t>193</w:t>
      </w:r>
      <w:r w:rsidRPr="009D3C25">
        <w:rPr>
          <w:rFonts w:ascii="Calibri" w:hAnsi="Calibri"/>
          <w:b/>
          <w:color w:val="002060"/>
          <w:sz w:val="24"/>
        </w:rPr>
        <w:t>-2014/C</w:t>
      </w:r>
    </w:p>
    <w:p w:rsidR="00666AAF" w:rsidRPr="009D3C25" w:rsidRDefault="00666AAF" w:rsidP="00666AAF">
      <w:pPr>
        <w:widowControl w:val="0"/>
        <w:spacing w:before="20" w:after="20" w:line="240" w:lineRule="auto"/>
        <w:ind w:firstLine="0"/>
        <w:rPr>
          <w:rFonts w:ascii="Calibri" w:hAnsi="Calibri"/>
          <w:color w:val="002060"/>
          <w:sz w:val="24"/>
        </w:rPr>
      </w:pPr>
    </w:p>
    <w:p w:rsidR="00666AAF" w:rsidRPr="009D3C25" w:rsidRDefault="00666AAF" w:rsidP="00666AAF">
      <w:pPr>
        <w:widowControl w:val="0"/>
        <w:spacing w:before="20" w:after="20" w:line="240" w:lineRule="auto"/>
        <w:ind w:firstLine="0"/>
        <w:rPr>
          <w:rFonts w:ascii="Calibri" w:hAnsi="Calibri"/>
          <w:color w:val="002060"/>
          <w:sz w:val="24"/>
        </w:rPr>
      </w:pPr>
    </w:p>
    <w:p w:rsidR="00666AAF" w:rsidRPr="009D3C25" w:rsidRDefault="00666AAF" w:rsidP="00666AAF">
      <w:pPr>
        <w:widowControl w:val="0"/>
        <w:spacing w:line="240" w:lineRule="auto"/>
        <w:ind w:firstLine="0"/>
        <w:rPr>
          <w:rFonts w:ascii="Calibri" w:hAnsi="Calibri"/>
          <w:b/>
          <w:color w:val="002060"/>
          <w:sz w:val="28"/>
        </w:rPr>
      </w:pPr>
      <w:r w:rsidRPr="001A17E4">
        <w:rPr>
          <w:rFonts w:ascii="Calibri" w:hAnsi="Calibri"/>
          <w:b/>
          <w:color w:val="002060"/>
          <w:sz w:val="28"/>
        </w:rPr>
        <w:t>INSTITUTIO EX RE CERTA E LEGATO</w:t>
      </w:r>
      <w:r>
        <w:rPr>
          <w:rFonts w:ascii="Calibri" w:hAnsi="Calibri"/>
          <w:b/>
          <w:color w:val="002060"/>
          <w:sz w:val="28"/>
        </w:rPr>
        <w:t xml:space="preserve"> </w:t>
      </w:r>
    </w:p>
    <w:p w:rsidR="00666AAF" w:rsidRPr="009D3C25" w:rsidRDefault="00666AAF" w:rsidP="00666AAF">
      <w:pPr>
        <w:spacing w:line="240" w:lineRule="auto"/>
        <w:ind w:firstLine="0"/>
        <w:rPr>
          <w:rFonts w:ascii="Calibri" w:hAnsi="Calibri" w:cs="Calibri"/>
          <w:color w:val="002060"/>
          <w:sz w:val="24"/>
          <w:szCs w:val="24"/>
        </w:rPr>
      </w:pPr>
    </w:p>
    <w:p w:rsidR="00666AAF" w:rsidRPr="00BC06B7" w:rsidRDefault="00666AAF" w:rsidP="00666AAF">
      <w:pPr>
        <w:spacing w:line="240" w:lineRule="auto"/>
        <w:ind w:firstLine="0"/>
        <w:rPr>
          <w:rFonts w:ascii="Calibri" w:hAnsi="Calibri" w:cs="Calibri"/>
          <w:color w:val="002060"/>
          <w:sz w:val="24"/>
          <w:szCs w:val="24"/>
        </w:rPr>
      </w:pP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 xml:space="preserve">Si chiede come debba interpretarsi la disposizione testamentaria con la quale il defunto dispone, dopo aver nominato un esecutore testamentario, in questo senso: “La casa di </w:t>
      </w:r>
      <w:r>
        <w:rPr>
          <w:rFonts w:ascii="Calibri" w:hAnsi="Calibri" w:cs="Calibri"/>
          <w:color w:val="002060"/>
          <w:sz w:val="24"/>
          <w:szCs w:val="24"/>
        </w:rPr>
        <w:t>…</w:t>
      </w:r>
      <w:r w:rsidRPr="001A17E4">
        <w:rPr>
          <w:rFonts w:ascii="Calibri" w:hAnsi="Calibri" w:cs="Calibri"/>
          <w:color w:val="002060"/>
          <w:sz w:val="24"/>
          <w:szCs w:val="24"/>
        </w:rPr>
        <w:t xml:space="preserve"> la metti in vendita ed il ricavato lo suddividi così 1/3 a Tizia, 1/3 a Caia, 1/3 a Sempronia”. Precisa, inoltre, che l’esecutore, pur autorizzato, non ha proceduto alla vendita ed ha terminato il suo mandato essendo decorsi più di due anni e che Tizia, Caia e Sempronia, nonché un erede legittimo hanno accettato l’eredità con beneficio di inventario.</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 xml:space="preserve">Si pone dunque il problema se la disposizione citata possa qualificarsi come legato ovvero come </w:t>
      </w:r>
      <w:r w:rsidRPr="001A17E4">
        <w:rPr>
          <w:rFonts w:ascii="Calibri" w:hAnsi="Calibri" w:cs="Calibri"/>
          <w:i/>
          <w:color w:val="002060"/>
          <w:sz w:val="24"/>
          <w:szCs w:val="24"/>
        </w:rPr>
        <w:t>institutio ex re certa</w:t>
      </w:r>
      <w:r w:rsidRPr="001A17E4">
        <w:rPr>
          <w:rFonts w:ascii="Calibri" w:hAnsi="Calibri" w:cs="Calibri"/>
          <w:color w:val="002060"/>
          <w:sz w:val="24"/>
          <w:szCs w:val="24"/>
        </w:rPr>
        <w:t>.</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Premesso che l’interpretazione della disposizione non può in definitiva che essere rimessa al giudice, al fine di rispondere al quesito posto sembra possibile fare le seguenti osservazioni.</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Secondo il consolidato orientamento di dottrina</w:t>
      </w:r>
      <w:r w:rsidRPr="001A17E4">
        <w:rPr>
          <w:rFonts w:ascii="Calibri" w:hAnsi="Calibri" w:cs="Calibri"/>
          <w:b/>
          <w:color w:val="002060"/>
          <w:sz w:val="24"/>
          <w:szCs w:val="24"/>
          <w:vertAlign w:val="superscript"/>
        </w:rPr>
        <w:t xml:space="preserve"> (</w:t>
      </w:r>
      <w:r>
        <w:rPr>
          <w:rFonts w:ascii="Calibri" w:hAnsi="Calibri" w:cs="Calibri"/>
          <w:b/>
          <w:color w:val="002060"/>
          <w:sz w:val="24"/>
          <w:szCs w:val="24"/>
          <w:vertAlign w:val="superscript"/>
        </w:rPr>
        <w:t>1</w:t>
      </w:r>
      <w:r w:rsidRPr="001A17E4">
        <w:rPr>
          <w:rFonts w:ascii="Calibri" w:hAnsi="Calibri" w:cs="Calibri"/>
          <w:b/>
          <w:color w:val="002060"/>
          <w:sz w:val="24"/>
          <w:szCs w:val="24"/>
          <w:vertAlign w:val="superscript"/>
        </w:rPr>
        <w:t>)</w:t>
      </w:r>
      <w:r w:rsidRPr="001A17E4">
        <w:rPr>
          <w:rFonts w:ascii="Calibri" w:hAnsi="Calibri" w:cs="Calibri"/>
          <w:color w:val="002060"/>
          <w:sz w:val="24"/>
          <w:szCs w:val="24"/>
        </w:rPr>
        <w:t xml:space="preserve"> e giurisprudenza</w:t>
      </w:r>
      <w:r w:rsidRPr="001A17E4">
        <w:rPr>
          <w:rFonts w:ascii="Calibri" w:hAnsi="Calibri" w:cs="Calibri"/>
          <w:b/>
          <w:color w:val="002060"/>
          <w:sz w:val="24"/>
          <w:szCs w:val="24"/>
          <w:vertAlign w:val="superscript"/>
        </w:rPr>
        <w:t xml:space="preserve"> (</w:t>
      </w:r>
      <w:r>
        <w:rPr>
          <w:rFonts w:ascii="Calibri" w:hAnsi="Calibri" w:cs="Calibri"/>
          <w:b/>
          <w:color w:val="002060"/>
          <w:sz w:val="24"/>
          <w:szCs w:val="24"/>
          <w:vertAlign w:val="superscript"/>
        </w:rPr>
        <w:t>2</w:t>
      </w:r>
      <w:r w:rsidRPr="001A17E4">
        <w:rPr>
          <w:rFonts w:ascii="Calibri" w:hAnsi="Calibri" w:cs="Calibri"/>
          <w:b/>
          <w:color w:val="002060"/>
          <w:sz w:val="24"/>
          <w:szCs w:val="24"/>
          <w:vertAlign w:val="superscript"/>
        </w:rPr>
        <w:t>)</w:t>
      </w:r>
      <w:r w:rsidRPr="001A17E4">
        <w:rPr>
          <w:rFonts w:ascii="Calibri" w:hAnsi="Calibri" w:cs="Calibri"/>
          <w:color w:val="002060"/>
          <w:sz w:val="24"/>
          <w:szCs w:val="24"/>
        </w:rPr>
        <w:t xml:space="preserve">, al fine di interpretare una disposizione testamentaria per ricondurla alla figura del legato ovvero a quella della istituzione di erede </w:t>
      </w:r>
      <w:r w:rsidRPr="001A17E4">
        <w:rPr>
          <w:rFonts w:ascii="Calibri" w:hAnsi="Calibri" w:cs="Calibri"/>
          <w:i/>
          <w:color w:val="002060"/>
          <w:sz w:val="24"/>
          <w:szCs w:val="24"/>
        </w:rPr>
        <w:t>ex certa re</w:t>
      </w:r>
      <w:r w:rsidRPr="001A17E4">
        <w:rPr>
          <w:rFonts w:ascii="Calibri" w:hAnsi="Calibri" w:cs="Calibri"/>
          <w:color w:val="002060"/>
          <w:sz w:val="24"/>
          <w:szCs w:val="24"/>
        </w:rPr>
        <w:t xml:space="preserve"> non assumono valore decisivo le espressioni utilizzate dal testatore. Occorre infatti indagare sia il contenuto oggettivo della disposizione, sia la volontà del testatore al fine di capire se costui abbia voluto attribuire al beneficiario il bene in funzione di quota del patrimonio ereditario ovvero abbia inteso escludere l’istituzione nell’</w:t>
      </w:r>
      <w:r w:rsidRPr="001A17E4">
        <w:rPr>
          <w:rFonts w:ascii="Calibri" w:hAnsi="Calibri" w:cs="Calibri"/>
          <w:i/>
          <w:color w:val="002060"/>
          <w:sz w:val="24"/>
          <w:szCs w:val="24"/>
        </w:rPr>
        <w:t xml:space="preserve">universum </w:t>
      </w:r>
      <w:proofErr w:type="spellStart"/>
      <w:r w:rsidRPr="001A17E4">
        <w:rPr>
          <w:rFonts w:ascii="Calibri" w:hAnsi="Calibri" w:cs="Calibri"/>
          <w:i/>
          <w:color w:val="002060"/>
          <w:sz w:val="24"/>
          <w:szCs w:val="24"/>
        </w:rPr>
        <w:t>ius</w:t>
      </w:r>
      <w:proofErr w:type="spellEnd"/>
      <w:r w:rsidRPr="001A17E4">
        <w:rPr>
          <w:rFonts w:ascii="Calibri" w:hAnsi="Calibri" w:cs="Calibri"/>
          <w:color w:val="002060"/>
          <w:sz w:val="24"/>
          <w:szCs w:val="24"/>
        </w:rPr>
        <w:t>.</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Occorre segnalare, inoltre, che tra i diversi criteri interpretativi proposti al fine di risolvere i casi dubbi, autorevole dottrina</w:t>
      </w:r>
      <w:r w:rsidRPr="001A17E4">
        <w:rPr>
          <w:rFonts w:ascii="Calibri" w:hAnsi="Calibri" w:cs="Calibri"/>
          <w:b/>
          <w:color w:val="002060"/>
          <w:sz w:val="24"/>
          <w:szCs w:val="24"/>
          <w:vertAlign w:val="superscript"/>
        </w:rPr>
        <w:t xml:space="preserve"> (</w:t>
      </w:r>
      <w:r>
        <w:rPr>
          <w:rFonts w:ascii="Calibri" w:hAnsi="Calibri" w:cs="Calibri"/>
          <w:b/>
          <w:color w:val="002060"/>
          <w:sz w:val="24"/>
          <w:szCs w:val="24"/>
          <w:vertAlign w:val="superscript"/>
        </w:rPr>
        <w:t>3</w:t>
      </w:r>
      <w:r w:rsidRPr="001A17E4">
        <w:rPr>
          <w:rFonts w:ascii="Calibri" w:hAnsi="Calibri" w:cs="Calibri"/>
          <w:b/>
          <w:color w:val="002060"/>
          <w:sz w:val="24"/>
          <w:szCs w:val="24"/>
          <w:vertAlign w:val="superscript"/>
        </w:rPr>
        <w:t>)</w:t>
      </w:r>
      <w:r w:rsidRPr="001A17E4">
        <w:rPr>
          <w:rFonts w:ascii="Calibri" w:hAnsi="Calibri" w:cs="Calibri"/>
          <w:color w:val="002060"/>
          <w:sz w:val="24"/>
          <w:szCs w:val="24"/>
        </w:rPr>
        <w:t xml:space="preserve"> ritiene preferibile concludere nel senso che il lascito di beni determinati debba nel dubbio qualificarsi come legato, facendosi leva sul disposto dell’art. 588 c.c., per il quale si ha attribuzione della qualità di erede soltanto se la disposizione comprende l’universalità o una quota dei beni del testatore, mentre le altre disposizioni sono a titolo particolare e attribuiscono la qualità di legatario.</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Fatte queste premesse, è possibile esaminare la disposizione prospettata, con la quale il testatore ha disposto che un determinato immobile fosse alienato e che il ricavato fosse ripartito in parti uguali tra tre beneficiarie.</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 xml:space="preserve">Tale disposizione sembra doversi qualificare in termini di legato. La stessa, difatti, ha ad oggetto un singolo e specifico rapporto (e non una quota) ed ha un (o meglio più) beneficiari determinati. Sembra quindi perfettamente inquadrarsi nello schema del legato. Non appare invece richiamabile l’istituto della </w:t>
      </w:r>
      <w:r w:rsidRPr="001A17E4">
        <w:rPr>
          <w:rFonts w:ascii="Calibri" w:hAnsi="Calibri" w:cs="Calibri"/>
          <w:i/>
          <w:color w:val="002060"/>
          <w:sz w:val="24"/>
          <w:szCs w:val="24"/>
        </w:rPr>
        <w:t>institutio ex re certa</w:t>
      </w:r>
      <w:r w:rsidRPr="001A17E4">
        <w:rPr>
          <w:rFonts w:ascii="Calibri" w:hAnsi="Calibri" w:cs="Calibri"/>
          <w:color w:val="002060"/>
          <w:sz w:val="24"/>
          <w:szCs w:val="24"/>
        </w:rPr>
        <w:t>. Dalla disposizione e dal complessivo testamento non sembrano emergere infatti elementi da cui possa desumersi una volontà istitutiva e dunque l’intenzione del testatore di attribuire quella somma di denaro in funzione di quota del patrimonio.</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Risolutiva appare al riguardo una sentenza della Suprema Corte</w:t>
      </w:r>
      <w:r w:rsidRPr="001A17E4">
        <w:rPr>
          <w:rFonts w:ascii="Calibri" w:hAnsi="Calibri" w:cs="Calibri"/>
          <w:b/>
          <w:color w:val="002060"/>
          <w:sz w:val="24"/>
          <w:szCs w:val="24"/>
          <w:vertAlign w:val="superscript"/>
        </w:rPr>
        <w:t xml:space="preserve"> (</w:t>
      </w:r>
      <w:r>
        <w:rPr>
          <w:rFonts w:ascii="Calibri" w:hAnsi="Calibri" w:cs="Calibri"/>
          <w:b/>
          <w:color w:val="002060"/>
          <w:sz w:val="24"/>
          <w:szCs w:val="24"/>
          <w:vertAlign w:val="superscript"/>
        </w:rPr>
        <w:t>4</w:t>
      </w:r>
      <w:r w:rsidRPr="001A17E4">
        <w:rPr>
          <w:rFonts w:ascii="Calibri" w:hAnsi="Calibri" w:cs="Calibri"/>
          <w:b/>
          <w:color w:val="002060"/>
          <w:sz w:val="24"/>
          <w:szCs w:val="24"/>
          <w:vertAlign w:val="superscript"/>
        </w:rPr>
        <w:t>)</w:t>
      </w:r>
      <w:r w:rsidRPr="001A17E4">
        <w:rPr>
          <w:rFonts w:ascii="Calibri" w:hAnsi="Calibri" w:cs="Calibri"/>
          <w:color w:val="002060"/>
          <w:sz w:val="24"/>
          <w:szCs w:val="24"/>
        </w:rPr>
        <w:t>, la quale ha espressamente qualificato in termini di legato una disposizione dal contenuto molto simile a quella qui esaminata.</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 xml:space="preserve">Nel caso posto all’attenzione della Corte, infatti, il testatore aveva così disposto: “Spero che riuscirai a vendere il mio appartamento e quanto esso contiene e dispongo che la metà della somma ricavata vada a papà, mio caro </w:t>
      </w:r>
      <w:r>
        <w:rPr>
          <w:rFonts w:ascii="Calibri" w:hAnsi="Calibri" w:cs="Calibri"/>
          <w:color w:val="002060"/>
          <w:sz w:val="24"/>
          <w:szCs w:val="24"/>
        </w:rPr>
        <w:t>…</w:t>
      </w:r>
      <w:r w:rsidRPr="001A17E4">
        <w:rPr>
          <w:rFonts w:ascii="Calibri" w:hAnsi="Calibri" w:cs="Calibri"/>
          <w:color w:val="002060"/>
          <w:sz w:val="24"/>
          <w:szCs w:val="24"/>
        </w:rPr>
        <w:t xml:space="preserve"> e l’altra metà per pagare le tasse e un ricordo agli altri nipoti […]”. </w:t>
      </w:r>
      <w:r w:rsidRPr="001A17E4">
        <w:rPr>
          <w:rFonts w:ascii="Calibri" w:hAnsi="Calibri" w:cs="Calibri"/>
          <w:color w:val="002060"/>
          <w:sz w:val="24"/>
          <w:szCs w:val="24"/>
        </w:rPr>
        <w:lastRenderedPageBreak/>
        <w:t>La Cassazione, confermando l’interpretazione fornita dalla Corte d’appello, ha sostenuto trattarsi di un legato obbligatorio di somma di denaro a carico dell’erede.</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Anche in un precedente di questo Ufficio studi</w:t>
      </w:r>
      <w:r w:rsidRPr="001A17E4">
        <w:rPr>
          <w:rFonts w:ascii="Calibri" w:hAnsi="Calibri" w:cs="Calibri"/>
          <w:b/>
          <w:color w:val="002060"/>
          <w:sz w:val="24"/>
          <w:szCs w:val="24"/>
          <w:vertAlign w:val="superscript"/>
        </w:rPr>
        <w:t xml:space="preserve"> (</w:t>
      </w:r>
      <w:r>
        <w:rPr>
          <w:rFonts w:ascii="Calibri" w:hAnsi="Calibri" w:cs="Calibri"/>
          <w:b/>
          <w:color w:val="002060"/>
          <w:sz w:val="24"/>
          <w:szCs w:val="24"/>
          <w:vertAlign w:val="superscript"/>
        </w:rPr>
        <w:t>5</w:t>
      </w:r>
      <w:r w:rsidRPr="001A17E4">
        <w:rPr>
          <w:rFonts w:ascii="Calibri" w:hAnsi="Calibri" w:cs="Calibri"/>
          <w:b/>
          <w:color w:val="002060"/>
          <w:sz w:val="24"/>
          <w:szCs w:val="24"/>
          <w:vertAlign w:val="superscript"/>
        </w:rPr>
        <w:t>)</w:t>
      </w:r>
      <w:r w:rsidRPr="001A17E4">
        <w:rPr>
          <w:rFonts w:ascii="Calibri" w:hAnsi="Calibri" w:cs="Calibri"/>
          <w:color w:val="002060"/>
          <w:sz w:val="24"/>
          <w:szCs w:val="24"/>
        </w:rPr>
        <w:t xml:space="preserve"> si perviene alle medesime conclusioni con riferimento ad una fattispecie in cui il testatore aveva autorizzato gli esecutori testamentari a vendere un determinato appartamento, incaricato gli stessi di utilizzare il ricavato della vendita secondo determinate direttive, ripartendo la somma residua tra le sorelle e i nipoti del testatore secondo specifiche proporzioni. In quel contesto si è affermato che «la disposizione testamentaria di cui al precedente punto 4.d) [</w:t>
      </w:r>
      <w:r w:rsidRPr="001A17E4">
        <w:rPr>
          <w:rFonts w:ascii="Calibri" w:hAnsi="Calibri" w:cs="Calibri"/>
          <w:i/>
          <w:color w:val="002060"/>
          <w:sz w:val="24"/>
          <w:szCs w:val="24"/>
        </w:rPr>
        <w:t>ossia quella sopra indicata</w:t>
      </w:r>
      <w:r w:rsidRPr="001A17E4">
        <w:rPr>
          <w:rFonts w:ascii="Calibri" w:hAnsi="Calibri" w:cs="Calibri"/>
          <w:color w:val="002060"/>
          <w:sz w:val="24"/>
          <w:szCs w:val="24"/>
        </w:rPr>
        <w:t>] si configura quale lascito di somma di denaro in favore di determinati soggetti. L’oggetto della disposizione, infatti, non è il bene immobile, bensì il ricavato della vendita dello stesso ed ogni altra somma di denaro eventualmente esistente nell’asse ereditario al momento dell’apertura delle successione».</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Stante l’affinità tra le fattispecie qui riportate e quella in esame, sembra doversi concludere nel senso che anche in questo caso l’attribuzione della somma di denaro ricavata dalla vendita di un immobile ereditario sia da qualificare in termini di legato obbligatorio.</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Da tale soluzione discende conseguentemente l’insussistenza di una delazione in favore delle beneficiarie della somma di denaro e l’irrilevanza dell’intervenuta accettazione di eredità, di cui mancherebbe il presupposto (ossia l’istituzione di erede).</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Quanto, infine, al soggetto tenuto all’adempimento del legato, e dunque alla alienazione dell’immobile al fine della ripartizione del ricavato in favore dei legatari, esso è da individuarsi nell’erede legittimo, essendo trascorso il termine massimo previsto per l’esecutore testamentario.</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L’art. 703, comma 2, c.c. dispone, al riguardo, che “Il possesso non può durare più di un anno dalla dichiarazione di accettazione, salvo che l’autorità giudiziaria, per motivi di evidente necessità, sentiti gli eredi, ne prolunghi la durata, che non potrà mai superare un altro anno”.</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 xml:space="preserve">La interpretazione della regola contenuta in tale articolo è stata diversamente intesa dagli interpreti. </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Secondo un primo indirizzo minoritario</w:t>
      </w:r>
      <w:r w:rsidRPr="001A17E4">
        <w:rPr>
          <w:rFonts w:ascii="Calibri" w:hAnsi="Calibri" w:cs="Calibri"/>
          <w:b/>
          <w:color w:val="002060"/>
          <w:sz w:val="24"/>
          <w:szCs w:val="24"/>
          <w:vertAlign w:val="superscript"/>
        </w:rPr>
        <w:t xml:space="preserve"> (</w:t>
      </w:r>
      <w:r>
        <w:rPr>
          <w:rFonts w:ascii="Calibri" w:hAnsi="Calibri" w:cs="Calibri"/>
          <w:b/>
          <w:color w:val="002060"/>
          <w:sz w:val="24"/>
          <w:szCs w:val="24"/>
          <w:vertAlign w:val="superscript"/>
        </w:rPr>
        <w:t>6</w:t>
      </w:r>
      <w:r w:rsidRPr="001A17E4">
        <w:rPr>
          <w:rFonts w:ascii="Calibri" w:hAnsi="Calibri" w:cs="Calibri"/>
          <w:b/>
          <w:color w:val="002060"/>
          <w:sz w:val="24"/>
          <w:szCs w:val="24"/>
          <w:vertAlign w:val="superscript"/>
        </w:rPr>
        <w:t>)</w:t>
      </w:r>
      <w:r w:rsidRPr="001A17E4">
        <w:rPr>
          <w:rFonts w:ascii="Calibri" w:hAnsi="Calibri" w:cs="Calibri"/>
          <w:color w:val="002060"/>
          <w:sz w:val="24"/>
          <w:szCs w:val="24"/>
        </w:rPr>
        <w:t>, alla scadenza del termine indicato dalla predetta normativa, l’esecutore perde soltanto il possesso, non anche il potere di amministrazione dei beni ereditari, che permarrebbe fino alla completa esecuzione delle disposizioni testamentarie.</w:t>
      </w:r>
    </w:p>
    <w:p w:rsidR="00666AAF" w:rsidRPr="001A17E4"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Secondo un diverso orientamento</w:t>
      </w:r>
      <w:r w:rsidRPr="001A17E4">
        <w:rPr>
          <w:rFonts w:ascii="Calibri" w:hAnsi="Calibri" w:cs="Calibri"/>
          <w:b/>
          <w:color w:val="002060"/>
          <w:sz w:val="24"/>
          <w:szCs w:val="24"/>
          <w:vertAlign w:val="superscript"/>
        </w:rPr>
        <w:t xml:space="preserve"> (</w:t>
      </w:r>
      <w:r>
        <w:rPr>
          <w:rFonts w:ascii="Calibri" w:hAnsi="Calibri" w:cs="Calibri"/>
          <w:b/>
          <w:color w:val="002060"/>
          <w:sz w:val="24"/>
          <w:szCs w:val="24"/>
          <w:vertAlign w:val="superscript"/>
        </w:rPr>
        <w:t>7</w:t>
      </w:r>
      <w:r w:rsidRPr="001A17E4">
        <w:rPr>
          <w:rFonts w:ascii="Calibri" w:hAnsi="Calibri" w:cs="Calibri"/>
          <w:b/>
          <w:color w:val="002060"/>
          <w:sz w:val="24"/>
          <w:szCs w:val="24"/>
          <w:vertAlign w:val="superscript"/>
        </w:rPr>
        <w:t>)</w:t>
      </w:r>
      <w:r w:rsidRPr="001A17E4">
        <w:rPr>
          <w:rFonts w:ascii="Calibri" w:hAnsi="Calibri" w:cs="Calibri"/>
          <w:color w:val="002060"/>
          <w:sz w:val="24"/>
          <w:szCs w:val="24"/>
        </w:rPr>
        <w:t>, ritenuto</w:t>
      </w:r>
      <w:r w:rsidRPr="001A17E4">
        <w:rPr>
          <w:rFonts w:ascii="Calibri" w:hAnsi="Calibri" w:cs="Calibri"/>
          <w:b/>
          <w:color w:val="002060"/>
          <w:sz w:val="24"/>
          <w:szCs w:val="24"/>
          <w:vertAlign w:val="superscript"/>
        </w:rPr>
        <w:t xml:space="preserve"> (</w:t>
      </w:r>
      <w:r>
        <w:rPr>
          <w:rFonts w:ascii="Calibri" w:hAnsi="Calibri" w:cs="Calibri"/>
          <w:b/>
          <w:color w:val="002060"/>
          <w:sz w:val="24"/>
          <w:szCs w:val="24"/>
          <w:vertAlign w:val="superscript"/>
        </w:rPr>
        <w:t>8</w:t>
      </w:r>
      <w:r w:rsidRPr="001A17E4">
        <w:rPr>
          <w:rFonts w:ascii="Calibri" w:hAnsi="Calibri" w:cs="Calibri"/>
          <w:b/>
          <w:color w:val="002060"/>
          <w:sz w:val="24"/>
          <w:szCs w:val="24"/>
          <w:vertAlign w:val="superscript"/>
        </w:rPr>
        <w:t>)</w:t>
      </w:r>
      <w:r w:rsidRPr="001A17E4">
        <w:rPr>
          <w:rFonts w:ascii="Calibri" w:hAnsi="Calibri" w:cs="Calibri"/>
          <w:color w:val="002060"/>
          <w:sz w:val="24"/>
          <w:szCs w:val="24"/>
        </w:rPr>
        <w:t xml:space="preserve"> preferibile e maggioritario, «allo spirare del termine indicato non cessa soltanto il possesso dell’esecutore testamentario, ma anche il potere di amministrazione; rimane, invece, se ancora non è stata data piena attuazione alla volontà testamentaria, l’ufficio dell’esecutore il quale finisce con il trovarsi nella posizione giuridica di esecutore sprovvisto di amministrazione</w:t>
      </w:r>
      <w:r w:rsidRPr="001A17E4">
        <w:rPr>
          <w:rFonts w:ascii="Calibri" w:hAnsi="Calibri" w:cs="Calibri"/>
          <w:b/>
          <w:color w:val="002060"/>
          <w:sz w:val="24"/>
          <w:szCs w:val="24"/>
          <w:vertAlign w:val="superscript"/>
        </w:rPr>
        <w:t xml:space="preserve"> (9</w:t>
      </w:r>
      <w:proofErr w:type="gramStart"/>
      <w:r w:rsidRPr="001A17E4">
        <w:rPr>
          <w:rFonts w:ascii="Calibri" w:hAnsi="Calibri" w:cs="Calibri"/>
          <w:b/>
          <w:color w:val="002060"/>
          <w:sz w:val="24"/>
          <w:szCs w:val="24"/>
          <w:vertAlign w:val="superscript"/>
        </w:rPr>
        <w:t>)</w:t>
      </w:r>
      <w:r w:rsidRPr="001A17E4">
        <w:rPr>
          <w:rFonts w:ascii="Calibri" w:hAnsi="Calibri" w:cs="Calibri"/>
          <w:color w:val="002060"/>
          <w:sz w:val="24"/>
          <w:szCs w:val="24"/>
        </w:rPr>
        <w:t xml:space="preserve"> »</w:t>
      </w:r>
      <w:proofErr w:type="gramEnd"/>
      <w:r w:rsidRPr="001A17E4">
        <w:rPr>
          <w:rFonts w:ascii="Calibri" w:hAnsi="Calibri" w:cs="Calibri"/>
          <w:color w:val="002060"/>
          <w:sz w:val="24"/>
          <w:szCs w:val="24"/>
        </w:rPr>
        <w:t>.</w:t>
      </w:r>
    </w:p>
    <w:p w:rsidR="00666AAF" w:rsidRDefault="00666AAF" w:rsidP="00666AAF">
      <w:pPr>
        <w:spacing w:line="276" w:lineRule="auto"/>
        <w:rPr>
          <w:rFonts w:ascii="Calibri" w:hAnsi="Calibri" w:cs="Calibri"/>
          <w:color w:val="002060"/>
          <w:sz w:val="24"/>
          <w:szCs w:val="24"/>
        </w:rPr>
      </w:pPr>
      <w:r w:rsidRPr="001A17E4">
        <w:rPr>
          <w:rFonts w:ascii="Calibri" w:hAnsi="Calibri" w:cs="Calibri"/>
          <w:color w:val="002060"/>
          <w:sz w:val="24"/>
          <w:szCs w:val="24"/>
        </w:rPr>
        <w:t>Alla luce di tale ricostruzione, essendo nel caso in esame venuto meno il potere di amministrazione dell’esecutore testamentario, dell’adempimento del legato sarà gravato l’erede, secondo la regola generale (art. 662 c.c.).</w:t>
      </w:r>
    </w:p>
    <w:p w:rsidR="00666AAF" w:rsidRPr="001A17E4" w:rsidRDefault="00666AAF" w:rsidP="00666AAF">
      <w:pPr>
        <w:spacing w:line="276" w:lineRule="auto"/>
        <w:rPr>
          <w:rFonts w:ascii="Calibri" w:hAnsi="Calibri" w:cs="Calibri"/>
          <w:color w:val="002060"/>
          <w:sz w:val="24"/>
          <w:szCs w:val="24"/>
        </w:rPr>
      </w:pPr>
    </w:p>
    <w:p w:rsidR="00666AAF" w:rsidRPr="001A17E4" w:rsidRDefault="00666AAF" w:rsidP="00666AAF">
      <w:pPr>
        <w:spacing w:line="276" w:lineRule="auto"/>
        <w:jc w:val="right"/>
        <w:rPr>
          <w:rFonts w:ascii="Calibri" w:hAnsi="Calibri" w:cs="Calibri"/>
          <w:i/>
          <w:color w:val="002060"/>
          <w:sz w:val="24"/>
          <w:szCs w:val="24"/>
        </w:rPr>
      </w:pPr>
      <w:r w:rsidRPr="001A17E4">
        <w:rPr>
          <w:rFonts w:ascii="Calibri" w:hAnsi="Calibri" w:cs="Calibri"/>
          <w:i/>
          <w:color w:val="002060"/>
          <w:sz w:val="24"/>
          <w:szCs w:val="24"/>
        </w:rPr>
        <w:t xml:space="preserve">Antonio </w:t>
      </w:r>
      <w:proofErr w:type="spellStart"/>
      <w:r w:rsidRPr="001A17E4">
        <w:rPr>
          <w:rFonts w:ascii="Calibri" w:hAnsi="Calibri" w:cs="Calibri"/>
          <w:i/>
          <w:color w:val="002060"/>
          <w:sz w:val="24"/>
          <w:szCs w:val="24"/>
        </w:rPr>
        <w:t>Musto</w:t>
      </w:r>
      <w:proofErr w:type="spellEnd"/>
      <w:r w:rsidRPr="001A17E4">
        <w:rPr>
          <w:rFonts w:ascii="Calibri" w:hAnsi="Calibri" w:cs="Calibri"/>
          <w:i/>
          <w:color w:val="002060"/>
          <w:sz w:val="24"/>
          <w:szCs w:val="24"/>
        </w:rPr>
        <w:t xml:space="preserve"> e Marco </w:t>
      </w:r>
      <w:proofErr w:type="spellStart"/>
      <w:r w:rsidRPr="001A17E4">
        <w:rPr>
          <w:rFonts w:ascii="Calibri" w:hAnsi="Calibri" w:cs="Calibri"/>
          <w:i/>
          <w:color w:val="002060"/>
          <w:sz w:val="24"/>
          <w:szCs w:val="24"/>
        </w:rPr>
        <w:t>Bellinvia</w:t>
      </w:r>
      <w:proofErr w:type="spellEnd"/>
    </w:p>
    <w:p w:rsidR="00666AAF" w:rsidRPr="009D3C25" w:rsidRDefault="00666AAF" w:rsidP="00666AAF">
      <w:pPr>
        <w:spacing w:line="240" w:lineRule="atLeast"/>
        <w:jc w:val="right"/>
        <w:rPr>
          <w:rFonts w:ascii="Calibri" w:hAnsi="Calibri" w:cs="Calibri"/>
          <w:i/>
          <w:vanish/>
          <w:color w:val="002060"/>
          <w:sz w:val="24"/>
          <w:szCs w:val="24"/>
        </w:rPr>
      </w:pPr>
    </w:p>
    <w:p w:rsidR="00666AAF" w:rsidRDefault="00666AAF" w:rsidP="00666AAF">
      <w:pPr>
        <w:spacing w:line="276" w:lineRule="auto"/>
        <w:rPr>
          <w:rFonts w:ascii="Calibri" w:hAnsi="Calibri" w:cs="Calibri"/>
          <w:i/>
          <w:color w:val="002060"/>
          <w:sz w:val="24"/>
          <w:szCs w:val="24"/>
        </w:rPr>
      </w:pPr>
      <w:r w:rsidRPr="009D3C25">
        <w:rPr>
          <w:rFonts w:ascii="Calibri" w:hAnsi="Calibri" w:cs="Calibri"/>
          <w:i/>
          <w:color w:val="002060"/>
          <w:sz w:val="24"/>
          <w:szCs w:val="24"/>
        </w:rPr>
        <w:t>______________________</w:t>
      </w:r>
    </w:p>
    <w:p w:rsidR="00666AAF" w:rsidRPr="0009090A" w:rsidRDefault="00666AAF" w:rsidP="00666AAF">
      <w:pPr>
        <w:pStyle w:val="Testonotaapidipagina"/>
        <w:widowControl/>
        <w:numPr>
          <w:ilvl w:val="0"/>
          <w:numId w:val="5"/>
        </w:numPr>
        <w:autoSpaceDE/>
        <w:autoSpaceDN/>
        <w:adjustRightInd/>
        <w:spacing w:line="240" w:lineRule="auto"/>
        <w:ind w:left="567" w:hanging="283"/>
        <w:rPr>
          <w:rFonts w:ascii="Calibri" w:hAnsi="Calibri" w:cs="Calibri"/>
          <w:color w:val="002060"/>
          <w:szCs w:val="20"/>
        </w:rPr>
      </w:pPr>
      <w:r w:rsidRPr="0009090A">
        <w:rPr>
          <w:rFonts w:ascii="Calibri" w:hAnsi="Calibri" w:cs="Calibri"/>
          <w:color w:val="002060"/>
          <w:szCs w:val="20"/>
        </w:rPr>
        <w:t xml:space="preserve">Per tutti v. </w:t>
      </w:r>
      <w:proofErr w:type="spellStart"/>
      <w:r w:rsidRPr="0009090A">
        <w:rPr>
          <w:rFonts w:ascii="Calibri" w:hAnsi="Calibri" w:cs="Calibri"/>
          <w:color w:val="002060"/>
          <w:szCs w:val="20"/>
        </w:rPr>
        <w:t>C</w:t>
      </w:r>
      <w:r w:rsidRPr="0009090A">
        <w:rPr>
          <w:rFonts w:ascii="Calibri" w:hAnsi="Calibri" w:cs="Calibri"/>
          <w:smallCaps/>
          <w:color w:val="002060"/>
          <w:szCs w:val="20"/>
        </w:rPr>
        <w:t>apozzi</w:t>
      </w:r>
      <w:proofErr w:type="spellEnd"/>
      <w:r w:rsidRPr="0009090A">
        <w:rPr>
          <w:rFonts w:ascii="Calibri" w:hAnsi="Calibri" w:cs="Calibri"/>
          <w:color w:val="002060"/>
          <w:szCs w:val="20"/>
        </w:rPr>
        <w:t xml:space="preserve">, </w:t>
      </w:r>
      <w:r w:rsidRPr="0009090A">
        <w:rPr>
          <w:rFonts w:ascii="Calibri" w:hAnsi="Calibri" w:cs="Calibri"/>
          <w:i/>
          <w:color w:val="002060"/>
          <w:szCs w:val="20"/>
        </w:rPr>
        <w:t>Successioni e donazioni</w:t>
      </w:r>
      <w:r w:rsidRPr="0009090A">
        <w:rPr>
          <w:rFonts w:ascii="Calibri" w:hAnsi="Calibri" w:cs="Calibri"/>
          <w:color w:val="002060"/>
          <w:szCs w:val="20"/>
        </w:rPr>
        <w:t>, Milano, 2009, p. 79 ss.</w:t>
      </w:r>
    </w:p>
    <w:p w:rsidR="00666AAF" w:rsidRPr="0009090A" w:rsidRDefault="00666AAF" w:rsidP="00666AAF">
      <w:pPr>
        <w:pStyle w:val="Testonotaapidipagina"/>
        <w:widowControl/>
        <w:numPr>
          <w:ilvl w:val="0"/>
          <w:numId w:val="5"/>
        </w:numPr>
        <w:autoSpaceDE/>
        <w:autoSpaceDN/>
        <w:adjustRightInd/>
        <w:spacing w:line="240" w:lineRule="auto"/>
        <w:ind w:left="567" w:hanging="283"/>
        <w:rPr>
          <w:rFonts w:ascii="Calibri" w:hAnsi="Calibri" w:cs="Calibri"/>
          <w:color w:val="002060"/>
          <w:szCs w:val="20"/>
        </w:rPr>
      </w:pPr>
      <w:r w:rsidRPr="0009090A">
        <w:rPr>
          <w:rFonts w:ascii="Calibri" w:hAnsi="Calibri" w:cs="Calibri"/>
          <w:color w:val="002060"/>
          <w:szCs w:val="20"/>
        </w:rPr>
        <w:t>Per tutte, Cass. 12 luglio 2001, n. 9467.</w:t>
      </w:r>
    </w:p>
    <w:p w:rsidR="00666AAF" w:rsidRPr="0009090A" w:rsidRDefault="00666AAF" w:rsidP="00666AAF">
      <w:pPr>
        <w:pStyle w:val="Testonotaapidipagina"/>
        <w:widowControl/>
        <w:numPr>
          <w:ilvl w:val="0"/>
          <w:numId w:val="5"/>
        </w:numPr>
        <w:autoSpaceDE/>
        <w:autoSpaceDN/>
        <w:adjustRightInd/>
        <w:spacing w:line="240" w:lineRule="auto"/>
        <w:ind w:left="567" w:hanging="283"/>
        <w:rPr>
          <w:rFonts w:ascii="Calibri" w:hAnsi="Calibri" w:cs="Calibri"/>
          <w:color w:val="002060"/>
          <w:szCs w:val="20"/>
        </w:rPr>
      </w:pPr>
      <w:proofErr w:type="spellStart"/>
      <w:r w:rsidRPr="0009090A">
        <w:rPr>
          <w:rFonts w:ascii="Calibri" w:hAnsi="Calibri" w:cs="Calibri"/>
          <w:color w:val="002060"/>
          <w:szCs w:val="20"/>
        </w:rPr>
        <w:t>C</w:t>
      </w:r>
      <w:r w:rsidRPr="0009090A">
        <w:rPr>
          <w:rFonts w:ascii="Calibri" w:hAnsi="Calibri" w:cs="Calibri"/>
          <w:smallCaps/>
          <w:color w:val="002060"/>
          <w:szCs w:val="20"/>
        </w:rPr>
        <w:t>apozzi</w:t>
      </w:r>
      <w:proofErr w:type="spellEnd"/>
      <w:r w:rsidRPr="0009090A">
        <w:rPr>
          <w:rFonts w:ascii="Calibri" w:hAnsi="Calibri" w:cs="Calibri"/>
          <w:color w:val="002060"/>
          <w:szCs w:val="20"/>
        </w:rPr>
        <w:t xml:space="preserve">, </w:t>
      </w:r>
      <w:r w:rsidRPr="0009090A">
        <w:rPr>
          <w:rFonts w:ascii="Calibri" w:hAnsi="Calibri" w:cs="Calibri"/>
          <w:i/>
          <w:color w:val="002060"/>
          <w:szCs w:val="20"/>
        </w:rPr>
        <w:t>Successioni e donazioni</w:t>
      </w:r>
      <w:r w:rsidRPr="0009090A">
        <w:rPr>
          <w:rFonts w:ascii="Calibri" w:hAnsi="Calibri" w:cs="Calibri"/>
          <w:color w:val="002060"/>
          <w:szCs w:val="20"/>
        </w:rPr>
        <w:t>, cit., p. 81. Cfr., inoltre, G</w:t>
      </w:r>
      <w:r w:rsidRPr="0009090A">
        <w:rPr>
          <w:rFonts w:ascii="Calibri" w:hAnsi="Calibri" w:cs="Calibri"/>
          <w:smallCaps/>
          <w:color w:val="002060"/>
          <w:szCs w:val="20"/>
        </w:rPr>
        <w:t>angi</w:t>
      </w:r>
      <w:r w:rsidRPr="0009090A">
        <w:rPr>
          <w:rFonts w:ascii="Calibri" w:hAnsi="Calibri" w:cs="Calibri"/>
          <w:color w:val="002060"/>
          <w:szCs w:val="20"/>
        </w:rPr>
        <w:t xml:space="preserve">, </w:t>
      </w:r>
      <w:r w:rsidRPr="0009090A">
        <w:rPr>
          <w:rFonts w:ascii="Calibri" w:hAnsi="Calibri" w:cs="Calibri"/>
          <w:i/>
          <w:color w:val="002060"/>
          <w:szCs w:val="20"/>
        </w:rPr>
        <w:t>La successione testamentaria</w:t>
      </w:r>
      <w:r w:rsidRPr="0009090A">
        <w:rPr>
          <w:rFonts w:ascii="Calibri" w:hAnsi="Calibri" w:cs="Calibri"/>
          <w:color w:val="002060"/>
          <w:szCs w:val="20"/>
        </w:rPr>
        <w:t>, p. 381; B</w:t>
      </w:r>
      <w:r w:rsidRPr="0009090A">
        <w:rPr>
          <w:rFonts w:ascii="Calibri" w:hAnsi="Calibri" w:cs="Calibri"/>
          <w:smallCaps/>
          <w:color w:val="002060"/>
          <w:szCs w:val="20"/>
        </w:rPr>
        <w:t>asini</w:t>
      </w:r>
      <w:r w:rsidRPr="0009090A">
        <w:rPr>
          <w:rFonts w:ascii="Calibri" w:hAnsi="Calibri" w:cs="Calibri"/>
          <w:color w:val="002060"/>
          <w:szCs w:val="20"/>
        </w:rPr>
        <w:t xml:space="preserve">, </w:t>
      </w:r>
      <w:r w:rsidRPr="0009090A">
        <w:rPr>
          <w:rFonts w:ascii="Calibri" w:hAnsi="Calibri" w:cs="Calibri"/>
          <w:i/>
          <w:color w:val="002060"/>
          <w:szCs w:val="20"/>
        </w:rPr>
        <w:t xml:space="preserve">“Lasciti” di beni determinati ed istituzione di erede </w:t>
      </w:r>
      <w:r w:rsidRPr="0009090A">
        <w:rPr>
          <w:rFonts w:ascii="Calibri" w:hAnsi="Calibri" w:cs="Calibri"/>
          <w:color w:val="002060"/>
          <w:szCs w:val="20"/>
        </w:rPr>
        <w:t xml:space="preserve">“ex re certa”, in </w:t>
      </w:r>
      <w:proofErr w:type="spellStart"/>
      <w:r w:rsidRPr="0009090A">
        <w:rPr>
          <w:rFonts w:ascii="Calibri" w:hAnsi="Calibri" w:cs="Calibri"/>
          <w:i/>
          <w:color w:val="002060"/>
          <w:szCs w:val="20"/>
        </w:rPr>
        <w:t>Fam</w:t>
      </w:r>
      <w:proofErr w:type="spellEnd"/>
      <w:r w:rsidRPr="0009090A">
        <w:rPr>
          <w:rFonts w:ascii="Calibri" w:hAnsi="Calibri" w:cs="Calibri"/>
          <w:i/>
          <w:color w:val="002060"/>
          <w:szCs w:val="20"/>
        </w:rPr>
        <w:t xml:space="preserve">. </w:t>
      </w:r>
      <w:proofErr w:type="spellStart"/>
      <w:r w:rsidRPr="0009090A">
        <w:rPr>
          <w:rFonts w:ascii="Calibri" w:hAnsi="Calibri" w:cs="Calibri"/>
          <w:i/>
          <w:color w:val="002060"/>
          <w:szCs w:val="20"/>
        </w:rPr>
        <w:t>pers</w:t>
      </w:r>
      <w:proofErr w:type="spellEnd"/>
      <w:r w:rsidRPr="0009090A">
        <w:rPr>
          <w:rFonts w:ascii="Calibri" w:hAnsi="Calibri" w:cs="Calibri"/>
          <w:i/>
          <w:color w:val="002060"/>
          <w:szCs w:val="20"/>
        </w:rPr>
        <w:t>. succ.</w:t>
      </w:r>
      <w:r w:rsidRPr="0009090A">
        <w:rPr>
          <w:rFonts w:ascii="Calibri" w:hAnsi="Calibri" w:cs="Calibri"/>
          <w:color w:val="002060"/>
          <w:szCs w:val="20"/>
        </w:rPr>
        <w:t xml:space="preserve">, 2007, p. 245 ss. In </w:t>
      </w:r>
      <w:r w:rsidRPr="0009090A">
        <w:rPr>
          <w:rFonts w:ascii="Calibri" w:hAnsi="Calibri" w:cs="Calibri"/>
          <w:color w:val="002060"/>
          <w:szCs w:val="20"/>
        </w:rPr>
        <w:lastRenderedPageBreak/>
        <w:t xml:space="preserve">giurisprudenza, v. Cass. 25 ottobre 2013, n. 24163: «In tema di distinzione tra erede e legatario, ai sensi dell'art. 588 cod. </w:t>
      </w:r>
      <w:proofErr w:type="gramStart"/>
      <w:r w:rsidRPr="0009090A">
        <w:rPr>
          <w:rFonts w:ascii="Calibri" w:hAnsi="Calibri" w:cs="Calibri"/>
          <w:color w:val="002060"/>
          <w:szCs w:val="20"/>
        </w:rPr>
        <w:t>civ.,</w:t>
      </w:r>
      <w:proofErr w:type="gramEnd"/>
      <w:r w:rsidRPr="0009090A">
        <w:rPr>
          <w:rFonts w:ascii="Calibri" w:hAnsi="Calibri" w:cs="Calibri"/>
          <w:color w:val="002060"/>
          <w:szCs w:val="20"/>
        </w:rPr>
        <w:t xml:space="preserve"> l'assegnazione di beni determinati configura una successione a titolo universale ("</w:t>
      </w:r>
      <w:r w:rsidRPr="0009090A">
        <w:rPr>
          <w:rStyle w:val="resultlisthighlightterm"/>
          <w:rFonts w:ascii="Calibri" w:hAnsi="Calibri" w:cs="Calibri"/>
          <w:color w:val="002060"/>
          <w:szCs w:val="20"/>
        </w:rPr>
        <w:t>institutio</w:t>
      </w:r>
      <w:r w:rsidRPr="0009090A">
        <w:rPr>
          <w:rFonts w:ascii="Calibri" w:hAnsi="Calibri" w:cs="Calibri"/>
          <w:color w:val="002060"/>
          <w:szCs w:val="20"/>
        </w:rPr>
        <w:t xml:space="preserve"> </w:t>
      </w:r>
      <w:r w:rsidRPr="0009090A">
        <w:rPr>
          <w:rStyle w:val="resultlisthighlightterm"/>
          <w:rFonts w:ascii="Calibri" w:hAnsi="Calibri" w:cs="Calibri"/>
          <w:color w:val="002060"/>
          <w:szCs w:val="20"/>
        </w:rPr>
        <w:t>ex</w:t>
      </w:r>
      <w:r w:rsidRPr="0009090A">
        <w:rPr>
          <w:rFonts w:ascii="Calibri" w:hAnsi="Calibri" w:cs="Calibri"/>
          <w:color w:val="002060"/>
          <w:szCs w:val="20"/>
        </w:rPr>
        <w:t xml:space="preserve"> </w:t>
      </w:r>
      <w:r w:rsidRPr="0009090A">
        <w:rPr>
          <w:rStyle w:val="resultlisthighlightterm"/>
          <w:rFonts w:ascii="Calibri" w:hAnsi="Calibri" w:cs="Calibri"/>
          <w:color w:val="002060"/>
          <w:szCs w:val="20"/>
        </w:rPr>
        <w:t>re</w:t>
      </w:r>
      <w:r w:rsidRPr="0009090A">
        <w:rPr>
          <w:rFonts w:ascii="Calibri" w:hAnsi="Calibri" w:cs="Calibri"/>
          <w:color w:val="002060"/>
          <w:szCs w:val="20"/>
        </w:rPr>
        <w:t xml:space="preserve"> </w:t>
      </w:r>
      <w:r w:rsidRPr="0009090A">
        <w:rPr>
          <w:rStyle w:val="resultlisthighlightterm"/>
          <w:rFonts w:ascii="Calibri" w:hAnsi="Calibri" w:cs="Calibri"/>
          <w:color w:val="002060"/>
          <w:szCs w:val="20"/>
        </w:rPr>
        <w:t>certa</w:t>
      </w:r>
      <w:r w:rsidRPr="0009090A">
        <w:rPr>
          <w:rFonts w:ascii="Calibri" w:hAnsi="Calibri" w:cs="Calibri"/>
          <w:color w:val="002060"/>
          <w:szCs w:val="20"/>
        </w:rPr>
        <w:t xml:space="preserve">") qualora il testatore abbia inteso chiamare l'istituito nell'universalità dei beni o in una quota del patrimonio relitto, mentre deve interpretarsi come </w:t>
      </w:r>
      <w:r w:rsidRPr="0009090A">
        <w:rPr>
          <w:rStyle w:val="resultlisthighlightterm"/>
          <w:rFonts w:ascii="Calibri" w:hAnsi="Calibri" w:cs="Calibri"/>
          <w:color w:val="002060"/>
          <w:szCs w:val="20"/>
        </w:rPr>
        <w:t>legato</w:t>
      </w:r>
      <w:r w:rsidRPr="0009090A">
        <w:rPr>
          <w:rFonts w:ascii="Calibri" w:hAnsi="Calibri" w:cs="Calibri"/>
          <w:color w:val="002060"/>
          <w:szCs w:val="20"/>
        </w:rPr>
        <w:t xml:space="preserve"> se egli abbia voluto attribuire singoli, individuati, beni. L'indagine diretta ad accertare se ricorra l'una o l'altra ipotesi si risolve in un apprezzamento di fatto, riservato ai giudici del merito e, quindi, incensurabile in cassazione, se congruamente motivato».</w:t>
      </w:r>
    </w:p>
    <w:p w:rsidR="00666AAF" w:rsidRPr="0009090A" w:rsidRDefault="00666AAF" w:rsidP="00666AAF">
      <w:pPr>
        <w:pStyle w:val="Testonotaapidipagina"/>
        <w:widowControl/>
        <w:numPr>
          <w:ilvl w:val="0"/>
          <w:numId w:val="5"/>
        </w:numPr>
        <w:autoSpaceDE/>
        <w:autoSpaceDN/>
        <w:adjustRightInd/>
        <w:spacing w:line="240" w:lineRule="auto"/>
        <w:ind w:left="567" w:hanging="283"/>
        <w:rPr>
          <w:rFonts w:ascii="Calibri" w:hAnsi="Calibri" w:cs="Calibri"/>
          <w:color w:val="002060"/>
          <w:szCs w:val="20"/>
        </w:rPr>
      </w:pPr>
      <w:r w:rsidRPr="0009090A">
        <w:rPr>
          <w:rFonts w:ascii="Calibri" w:hAnsi="Calibri" w:cs="Calibri"/>
          <w:color w:val="002060"/>
          <w:szCs w:val="20"/>
        </w:rPr>
        <w:t xml:space="preserve">Cass. 6 marzo 1992, n. 2708, in </w:t>
      </w:r>
      <w:r w:rsidRPr="0009090A">
        <w:rPr>
          <w:rFonts w:ascii="Calibri" w:hAnsi="Calibri" w:cs="Calibri"/>
          <w:i/>
          <w:color w:val="002060"/>
          <w:szCs w:val="20"/>
        </w:rPr>
        <w:t xml:space="preserve">Vita </w:t>
      </w:r>
      <w:proofErr w:type="gramStart"/>
      <w:r w:rsidRPr="0009090A">
        <w:rPr>
          <w:rFonts w:ascii="Calibri" w:hAnsi="Calibri" w:cs="Calibri"/>
          <w:i/>
          <w:color w:val="002060"/>
          <w:szCs w:val="20"/>
        </w:rPr>
        <w:t>not.</w:t>
      </w:r>
      <w:r w:rsidRPr="0009090A">
        <w:rPr>
          <w:rFonts w:ascii="Calibri" w:hAnsi="Calibri" w:cs="Calibri"/>
          <w:color w:val="002060"/>
          <w:szCs w:val="20"/>
        </w:rPr>
        <w:t>,</w:t>
      </w:r>
      <w:proofErr w:type="gramEnd"/>
      <w:r w:rsidRPr="0009090A">
        <w:rPr>
          <w:rFonts w:ascii="Calibri" w:hAnsi="Calibri" w:cs="Calibri"/>
          <w:color w:val="002060"/>
          <w:szCs w:val="20"/>
        </w:rPr>
        <w:t xml:space="preserve"> 1992, II, p. 1215 ss.</w:t>
      </w:r>
    </w:p>
    <w:p w:rsidR="00666AAF" w:rsidRPr="0009090A" w:rsidRDefault="00666AAF" w:rsidP="00666AAF">
      <w:pPr>
        <w:pStyle w:val="Testonotaapidipagina"/>
        <w:widowControl/>
        <w:numPr>
          <w:ilvl w:val="0"/>
          <w:numId w:val="5"/>
        </w:numPr>
        <w:autoSpaceDE/>
        <w:autoSpaceDN/>
        <w:adjustRightInd/>
        <w:spacing w:line="240" w:lineRule="auto"/>
        <w:ind w:left="567" w:hanging="283"/>
        <w:rPr>
          <w:rFonts w:ascii="Calibri" w:hAnsi="Calibri" w:cs="Calibri"/>
          <w:smallCaps/>
          <w:color w:val="002060"/>
          <w:szCs w:val="20"/>
        </w:rPr>
      </w:pPr>
      <w:r w:rsidRPr="0009090A">
        <w:rPr>
          <w:rFonts w:ascii="Calibri" w:hAnsi="Calibri" w:cs="Calibri"/>
          <w:color w:val="002060"/>
          <w:szCs w:val="20"/>
        </w:rPr>
        <w:t xml:space="preserve">Quesito n. 6074/C, a cura di D. </w:t>
      </w:r>
      <w:proofErr w:type="spellStart"/>
      <w:r w:rsidRPr="0009090A">
        <w:rPr>
          <w:rFonts w:ascii="Calibri" w:hAnsi="Calibri" w:cs="Calibri"/>
          <w:color w:val="002060"/>
          <w:szCs w:val="20"/>
        </w:rPr>
        <w:t>B</w:t>
      </w:r>
      <w:r w:rsidRPr="0009090A">
        <w:rPr>
          <w:rFonts w:ascii="Calibri" w:hAnsi="Calibri" w:cs="Calibri"/>
          <w:smallCaps/>
          <w:color w:val="002060"/>
          <w:szCs w:val="20"/>
        </w:rPr>
        <w:t>oggiali</w:t>
      </w:r>
      <w:proofErr w:type="spellEnd"/>
      <w:r w:rsidRPr="0009090A">
        <w:rPr>
          <w:rFonts w:ascii="Calibri" w:hAnsi="Calibri" w:cs="Calibri"/>
          <w:smallCaps/>
          <w:color w:val="002060"/>
          <w:szCs w:val="20"/>
        </w:rPr>
        <w:t xml:space="preserve">. </w:t>
      </w:r>
    </w:p>
    <w:p w:rsidR="00666AAF" w:rsidRPr="0009090A" w:rsidRDefault="00666AAF" w:rsidP="00666AAF">
      <w:pPr>
        <w:pStyle w:val="Testonotaapidipagina"/>
        <w:widowControl/>
        <w:numPr>
          <w:ilvl w:val="0"/>
          <w:numId w:val="5"/>
        </w:numPr>
        <w:autoSpaceDE/>
        <w:autoSpaceDN/>
        <w:adjustRightInd/>
        <w:spacing w:line="240" w:lineRule="auto"/>
        <w:ind w:left="567" w:hanging="283"/>
        <w:rPr>
          <w:rFonts w:ascii="Calibri" w:hAnsi="Calibri" w:cs="Calibri"/>
          <w:color w:val="002060"/>
          <w:szCs w:val="20"/>
        </w:rPr>
      </w:pPr>
      <w:r w:rsidRPr="0009090A">
        <w:rPr>
          <w:rFonts w:ascii="Calibri" w:hAnsi="Calibri" w:cs="Calibri"/>
          <w:color w:val="002060"/>
          <w:szCs w:val="20"/>
        </w:rPr>
        <w:t xml:space="preserve">G. </w:t>
      </w:r>
      <w:proofErr w:type="spellStart"/>
      <w:r w:rsidRPr="0009090A">
        <w:rPr>
          <w:rFonts w:ascii="Calibri" w:hAnsi="Calibri" w:cs="Calibri"/>
          <w:color w:val="002060"/>
          <w:szCs w:val="20"/>
        </w:rPr>
        <w:t>C</w:t>
      </w:r>
      <w:r w:rsidRPr="0009090A">
        <w:rPr>
          <w:rFonts w:ascii="Calibri" w:hAnsi="Calibri" w:cs="Calibri"/>
          <w:smallCaps/>
          <w:color w:val="002060"/>
          <w:szCs w:val="20"/>
        </w:rPr>
        <w:t>aramazza</w:t>
      </w:r>
      <w:proofErr w:type="spellEnd"/>
      <w:r w:rsidRPr="0009090A">
        <w:rPr>
          <w:rFonts w:ascii="Calibri" w:hAnsi="Calibri" w:cs="Calibri"/>
          <w:color w:val="002060"/>
          <w:szCs w:val="20"/>
        </w:rPr>
        <w:t xml:space="preserve">, </w:t>
      </w:r>
      <w:r w:rsidRPr="0009090A">
        <w:rPr>
          <w:rFonts w:ascii="Calibri" w:hAnsi="Calibri" w:cs="Calibri"/>
          <w:i/>
          <w:color w:val="002060"/>
          <w:szCs w:val="20"/>
        </w:rPr>
        <w:t>Delle successioni testamentarie</w:t>
      </w:r>
      <w:r w:rsidRPr="0009090A">
        <w:rPr>
          <w:rFonts w:ascii="Calibri" w:hAnsi="Calibri" w:cs="Calibri"/>
          <w:color w:val="002060"/>
          <w:szCs w:val="20"/>
        </w:rPr>
        <w:t xml:space="preserve">, in </w:t>
      </w:r>
      <w:r w:rsidRPr="0009090A">
        <w:rPr>
          <w:rFonts w:ascii="Calibri" w:hAnsi="Calibri" w:cs="Calibri"/>
          <w:i/>
          <w:color w:val="002060"/>
          <w:szCs w:val="20"/>
        </w:rPr>
        <w:t xml:space="preserve">Comm. teorico-pratico al cod. </w:t>
      </w:r>
      <w:proofErr w:type="gramStart"/>
      <w:r w:rsidRPr="0009090A">
        <w:rPr>
          <w:rFonts w:ascii="Calibri" w:hAnsi="Calibri" w:cs="Calibri"/>
          <w:i/>
          <w:color w:val="002060"/>
          <w:szCs w:val="20"/>
        </w:rPr>
        <w:t>civ</w:t>
      </w:r>
      <w:r w:rsidRPr="0009090A">
        <w:rPr>
          <w:rFonts w:ascii="Calibri" w:hAnsi="Calibri" w:cs="Calibri"/>
          <w:color w:val="002060"/>
          <w:szCs w:val="20"/>
        </w:rPr>
        <w:t>.,</w:t>
      </w:r>
      <w:proofErr w:type="gramEnd"/>
      <w:r w:rsidRPr="0009090A">
        <w:rPr>
          <w:rFonts w:ascii="Calibri" w:hAnsi="Calibri" w:cs="Calibri"/>
          <w:color w:val="002060"/>
          <w:szCs w:val="20"/>
        </w:rPr>
        <w:t xml:space="preserve"> F. D</w:t>
      </w:r>
      <w:r w:rsidRPr="0009090A">
        <w:rPr>
          <w:rFonts w:ascii="Calibri" w:hAnsi="Calibri" w:cs="Calibri"/>
          <w:smallCaps/>
          <w:color w:val="002060"/>
          <w:szCs w:val="20"/>
        </w:rPr>
        <w:t>e</w:t>
      </w:r>
      <w:r w:rsidRPr="0009090A">
        <w:rPr>
          <w:rFonts w:ascii="Calibri" w:hAnsi="Calibri" w:cs="Calibri"/>
          <w:color w:val="002060"/>
          <w:szCs w:val="20"/>
        </w:rPr>
        <w:t xml:space="preserve"> M</w:t>
      </w:r>
      <w:r w:rsidRPr="0009090A">
        <w:rPr>
          <w:rFonts w:ascii="Calibri" w:hAnsi="Calibri" w:cs="Calibri"/>
          <w:smallCaps/>
          <w:color w:val="002060"/>
          <w:szCs w:val="20"/>
        </w:rPr>
        <w:t>artino</w:t>
      </w:r>
      <w:r w:rsidRPr="0009090A">
        <w:rPr>
          <w:rFonts w:ascii="Calibri" w:hAnsi="Calibri" w:cs="Calibri"/>
          <w:color w:val="002060"/>
          <w:szCs w:val="20"/>
        </w:rPr>
        <w:t xml:space="preserve"> (diretto da), Novara-Roma, 1982, p. 570.</w:t>
      </w:r>
    </w:p>
    <w:p w:rsidR="00666AAF" w:rsidRPr="0009090A" w:rsidRDefault="00666AAF" w:rsidP="00666AAF">
      <w:pPr>
        <w:pStyle w:val="Testonotaapidipagina"/>
        <w:widowControl/>
        <w:numPr>
          <w:ilvl w:val="0"/>
          <w:numId w:val="5"/>
        </w:numPr>
        <w:autoSpaceDE/>
        <w:autoSpaceDN/>
        <w:adjustRightInd/>
        <w:spacing w:line="240" w:lineRule="auto"/>
        <w:ind w:left="567" w:hanging="283"/>
        <w:rPr>
          <w:rFonts w:ascii="Calibri" w:hAnsi="Calibri" w:cs="Calibri"/>
          <w:color w:val="002060"/>
          <w:szCs w:val="20"/>
        </w:rPr>
      </w:pPr>
      <w:r w:rsidRPr="0009090A">
        <w:rPr>
          <w:rFonts w:ascii="Calibri" w:hAnsi="Calibri" w:cs="Calibri"/>
          <w:color w:val="002060"/>
          <w:szCs w:val="20"/>
        </w:rPr>
        <w:t xml:space="preserve">M. </w:t>
      </w:r>
      <w:proofErr w:type="spellStart"/>
      <w:r w:rsidRPr="0009090A">
        <w:rPr>
          <w:rFonts w:ascii="Calibri" w:hAnsi="Calibri" w:cs="Calibri"/>
          <w:color w:val="002060"/>
          <w:szCs w:val="20"/>
        </w:rPr>
        <w:t>T</w:t>
      </w:r>
      <w:r w:rsidRPr="0009090A">
        <w:rPr>
          <w:rFonts w:ascii="Calibri" w:hAnsi="Calibri" w:cs="Calibri"/>
          <w:smallCaps/>
          <w:color w:val="002060"/>
          <w:szCs w:val="20"/>
        </w:rPr>
        <w:t>alamanca</w:t>
      </w:r>
      <w:proofErr w:type="spellEnd"/>
      <w:r w:rsidRPr="0009090A">
        <w:rPr>
          <w:rFonts w:ascii="Calibri" w:hAnsi="Calibri" w:cs="Calibri"/>
          <w:color w:val="002060"/>
          <w:szCs w:val="20"/>
        </w:rPr>
        <w:t xml:space="preserve">, </w:t>
      </w:r>
      <w:r w:rsidRPr="0009090A">
        <w:rPr>
          <w:rFonts w:ascii="Calibri" w:hAnsi="Calibri" w:cs="Calibri"/>
          <w:i/>
          <w:color w:val="002060"/>
          <w:szCs w:val="20"/>
        </w:rPr>
        <w:t>Successioni testamentarie, Artt. 679-712</w:t>
      </w:r>
      <w:r w:rsidRPr="0009090A">
        <w:rPr>
          <w:rFonts w:ascii="Calibri" w:hAnsi="Calibri" w:cs="Calibri"/>
          <w:color w:val="002060"/>
          <w:szCs w:val="20"/>
        </w:rPr>
        <w:t xml:space="preserve">, in </w:t>
      </w:r>
      <w:r w:rsidRPr="0009090A">
        <w:rPr>
          <w:rFonts w:ascii="Calibri" w:hAnsi="Calibri" w:cs="Calibri"/>
          <w:i/>
          <w:color w:val="002060"/>
          <w:szCs w:val="20"/>
        </w:rPr>
        <w:t xml:space="preserve">Comm. cod. </w:t>
      </w:r>
      <w:proofErr w:type="gramStart"/>
      <w:r w:rsidRPr="0009090A">
        <w:rPr>
          <w:rFonts w:ascii="Calibri" w:hAnsi="Calibri" w:cs="Calibri"/>
          <w:i/>
          <w:color w:val="002060"/>
          <w:szCs w:val="20"/>
        </w:rPr>
        <w:t>civ</w:t>
      </w:r>
      <w:r w:rsidRPr="0009090A">
        <w:rPr>
          <w:rFonts w:ascii="Calibri" w:hAnsi="Calibri" w:cs="Calibri"/>
          <w:color w:val="002060"/>
          <w:szCs w:val="20"/>
        </w:rPr>
        <w:t>.,</w:t>
      </w:r>
      <w:proofErr w:type="gramEnd"/>
      <w:r w:rsidRPr="0009090A">
        <w:rPr>
          <w:rFonts w:ascii="Calibri" w:hAnsi="Calibri" w:cs="Calibri"/>
          <w:color w:val="002060"/>
          <w:szCs w:val="20"/>
        </w:rPr>
        <w:t xml:space="preserve"> A. S</w:t>
      </w:r>
      <w:r w:rsidRPr="0009090A">
        <w:rPr>
          <w:rFonts w:ascii="Calibri" w:hAnsi="Calibri" w:cs="Calibri"/>
          <w:smallCaps/>
          <w:color w:val="002060"/>
          <w:szCs w:val="20"/>
        </w:rPr>
        <w:t>cialoja</w:t>
      </w:r>
      <w:r w:rsidRPr="0009090A">
        <w:rPr>
          <w:rFonts w:ascii="Calibri" w:hAnsi="Calibri" w:cs="Calibri"/>
          <w:color w:val="002060"/>
          <w:szCs w:val="20"/>
        </w:rPr>
        <w:t xml:space="preserve"> e G. B</w:t>
      </w:r>
      <w:r w:rsidRPr="0009090A">
        <w:rPr>
          <w:rFonts w:ascii="Calibri" w:hAnsi="Calibri" w:cs="Calibri"/>
          <w:smallCaps/>
          <w:color w:val="002060"/>
          <w:szCs w:val="20"/>
        </w:rPr>
        <w:t>ranca</w:t>
      </w:r>
      <w:r w:rsidRPr="0009090A">
        <w:rPr>
          <w:rFonts w:ascii="Calibri" w:hAnsi="Calibri" w:cs="Calibri"/>
          <w:color w:val="002060"/>
          <w:szCs w:val="20"/>
        </w:rPr>
        <w:t xml:space="preserve"> (a cura di), Bologna-Roma, 1976, p. 495; U. N</w:t>
      </w:r>
      <w:r w:rsidRPr="0009090A">
        <w:rPr>
          <w:rFonts w:ascii="Calibri" w:hAnsi="Calibri" w:cs="Calibri"/>
          <w:smallCaps/>
          <w:color w:val="002060"/>
          <w:szCs w:val="20"/>
        </w:rPr>
        <w:t>atoli</w:t>
      </w:r>
      <w:r w:rsidRPr="0009090A">
        <w:rPr>
          <w:rFonts w:ascii="Calibri" w:hAnsi="Calibri" w:cs="Calibri"/>
          <w:color w:val="002060"/>
          <w:szCs w:val="20"/>
        </w:rPr>
        <w:t xml:space="preserve">, </w:t>
      </w:r>
      <w:r w:rsidRPr="0009090A">
        <w:rPr>
          <w:rFonts w:ascii="Calibri" w:hAnsi="Calibri" w:cs="Calibri"/>
          <w:i/>
          <w:color w:val="002060"/>
          <w:szCs w:val="20"/>
        </w:rPr>
        <w:t>L’amministrazione dei beni ereditari</w:t>
      </w:r>
      <w:r w:rsidRPr="0009090A">
        <w:rPr>
          <w:rFonts w:ascii="Calibri" w:hAnsi="Calibri" w:cs="Calibri"/>
          <w:color w:val="002060"/>
          <w:szCs w:val="20"/>
        </w:rPr>
        <w:t>, Milano, 1968, p. 81.</w:t>
      </w:r>
    </w:p>
    <w:p w:rsidR="00666AAF" w:rsidRPr="0009090A" w:rsidRDefault="00666AAF" w:rsidP="00666AAF">
      <w:pPr>
        <w:pStyle w:val="Testonotaapidipagina"/>
        <w:widowControl/>
        <w:numPr>
          <w:ilvl w:val="0"/>
          <w:numId w:val="5"/>
        </w:numPr>
        <w:autoSpaceDE/>
        <w:autoSpaceDN/>
        <w:adjustRightInd/>
        <w:spacing w:line="240" w:lineRule="auto"/>
        <w:ind w:left="567" w:hanging="283"/>
        <w:rPr>
          <w:rFonts w:ascii="Calibri" w:hAnsi="Calibri" w:cs="Calibri"/>
          <w:color w:val="002060"/>
          <w:szCs w:val="20"/>
        </w:rPr>
      </w:pPr>
      <w:r w:rsidRPr="0009090A">
        <w:rPr>
          <w:rFonts w:ascii="Calibri" w:hAnsi="Calibri" w:cs="Calibri"/>
          <w:color w:val="002060"/>
          <w:szCs w:val="20"/>
        </w:rPr>
        <w:t xml:space="preserve">G. </w:t>
      </w:r>
      <w:proofErr w:type="spellStart"/>
      <w:r w:rsidRPr="0009090A">
        <w:rPr>
          <w:rFonts w:ascii="Calibri" w:hAnsi="Calibri" w:cs="Calibri"/>
          <w:color w:val="002060"/>
          <w:szCs w:val="20"/>
        </w:rPr>
        <w:t>Capozzi</w:t>
      </w:r>
      <w:proofErr w:type="spellEnd"/>
      <w:r w:rsidRPr="0009090A">
        <w:rPr>
          <w:rFonts w:ascii="Calibri" w:hAnsi="Calibri" w:cs="Calibri"/>
          <w:color w:val="002060"/>
          <w:szCs w:val="20"/>
        </w:rPr>
        <w:t xml:space="preserve">, </w:t>
      </w:r>
      <w:r w:rsidRPr="0009090A">
        <w:rPr>
          <w:rFonts w:ascii="Calibri" w:hAnsi="Calibri" w:cs="Calibri"/>
          <w:i/>
          <w:color w:val="002060"/>
          <w:szCs w:val="20"/>
        </w:rPr>
        <w:t>Successioni e donazioni</w:t>
      </w:r>
      <w:r w:rsidRPr="0009090A">
        <w:rPr>
          <w:rFonts w:ascii="Calibri" w:hAnsi="Calibri" w:cs="Calibri"/>
          <w:color w:val="002060"/>
          <w:szCs w:val="20"/>
        </w:rPr>
        <w:t>, cit., p. 1984.</w:t>
      </w:r>
    </w:p>
    <w:p w:rsidR="00666AAF" w:rsidRPr="0009090A" w:rsidRDefault="00666AAF" w:rsidP="00666AAF">
      <w:pPr>
        <w:pStyle w:val="Testonotaapidipagina"/>
        <w:widowControl/>
        <w:numPr>
          <w:ilvl w:val="0"/>
          <w:numId w:val="5"/>
        </w:numPr>
        <w:autoSpaceDE/>
        <w:autoSpaceDN/>
        <w:adjustRightInd/>
        <w:spacing w:line="240" w:lineRule="auto"/>
        <w:ind w:left="567" w:hanging="283"/>
        <w:rPr>
          <w:rFonts w:ascii="Calibri" w:hAnsi="Calibri" w:cs="Calibri"/>
          <w:color w:val="002060"/>
          <w:szCs w:val="20"/>
        </w:rPr>
      </w:pPr>
      <w:r w:rsidRPr="0009090A">
        <w:rPr>
          <w:rFonts w:ascii="Calibri" w:hAnsi="Calibri" w:cs="Calibri"/>
          <w:color w:val="002060"/>
          <w:szCs w:val="20"/>
        </w:rPr>
        <w:t>R. A</w:t>
      </w:r>
      <w:r w:rsidRPr="0009090A">
        <w:rPr>
          <w:rFonts w:ascii="Calibri" w:hAnsi="Calibri" w:cs="Calibri"/>
          <w:smallCaps/>
          <w:color w:val="002060"/>
          <w:szCs w:val="20"/>
        </w:rPr>
        <w:t>picella</w:t>
      </w:r>
      <w:r w:rsidRPr="0009090A">
        <w:rPr>
          <w:rFonts w:ascii="Calibri" w:hAnsi="Calibri" w:cs="Calibri"/>
          <w:color w:val="002060"/>
          <w:szCs w:val="20"/>
        </w:rPr>
        <w:t xml:space="preserve"> e C. C</w:t>
      </w:r>
      <w:r w:rsidRPr="0009090A">
        <w:rPr>
          <w:rFonts w:ascii="Calibri" w:hAnsi="Calibri" w:cs="Calibri"/>
          <w:smallCaps/>
          <w:color w:val="002060"/>
          <w:szCs w:val="20"/>
        </w:rPr>
        <w:t>arbone</w:t>
      </w:r>
      <w:r w:rsidRPr="0009090A">
        <w:rPr>
          <w:rFonts w:ascii="Calibri" w:hAnsi="Calibri" w:cs="Calibri"/>
          <w:color w:val="002060"/>
          <w:szCs w:val="20"/>
        </w:rPr>
        <w:t xml:space="preserve">, </w:t>
      </w:r>
      <w:r w:rsidRPr="0009090A">
        <w:rPr>
          <w:rFonts w:ascii="Calibri" w:hAnsi="Calibri" w:cs="Calibri"/>
          <w:i/>
          <w:color w:val="002060"/>
          <w:szCs w:val="20"/>
        </w:rPr>
        <w:t>Successioni e donazioni</w:t>
      </w:r>
      <w:r w:rsidRPr="0009090A">
        <w:rPr>
          <w:rFonts w:ascii="Calibri" w:hAnsi="Calibri" w:cs="Calibri"/>
          <w:color w:val="002060"/>
          <w:szCs w:val="20"/>
        </w:rPr>
        <w:t>, Milano, 2011, p. 25: «Allo scadenza di tale termine, l’esecutore perde il potere di detenere la massa ereditaria e, quindi, di amministrarla, e può solo custodirla e conservarla per consegnarla integra all’erede o, in mancanza, al curatore dell’eredità giacente. Ciò non significa, però, decadenza dell’esecutore dal suo ufficio perché la sua durata non può non rapportarsi all’esigenza di disposizioni testamentarie da eseguire»; A. M</w:t>
      </w:r>
      <w:r w:rsidRPr="0009090A">
        <w:rPr>
          <w:rFonts w:ascii="Calibri" w:hAnsi="Calibri" w:cs="Calibri"/>
          <w:smallCaps/>
          <w:color w:val="002060"/>
          <w:szCs w:val="20"/>
        </w:rPr>
        <w:t>asoni</w:t>
      </w:r>
      <w:r w:rsidRPr="0009090A">
        <w:rPr>
          <w:rFonts w:ascii="Calibri" w:hAnsi="Calibri" w:cs="Calibri"/>
          <w:color w:val="002060"/>
          <w:szCs w:val="20"/>
        </w:rPr>
        <w:t xml:space="preserve"> (a cura di), </w:t>
      </w:r>
      <w:r w:rsidRPr="0009090A">
        <w:rPr>
          <w:rFonts w:ascii="Calibri" w:hAnsi="Calibri" w:cs="Calibri"/>
          <w:i/>
          <w:color w:val="002060"/>
          <w:szCs w:val="20"/>
        </w:rPr>
        <w:t>Guida alla volontaria giurisdizione. Successioni, comunione, impresa, società e diritto internazionale processuale</w:t>
      </w:r>
      <w:r w:rsidRPr="0009090A">
        <w:rPr>
          <w:rFonts w:ascii="Calibri" w:hAnsi="Calibri" w:cs="Calibri"/>
          <w:color w:val="002060"/>
          <w:szCs w:val="20"/>
        </w:rPr>
        <w:t xml:space="preserve">, Milano, 2011, p. 256. In tal senso, </w:t>
      </w:r>
      <w:proofErr w:type="gramStart"/>
      <w:r w:rsidRPr="0009090A">
        <w:rPr>
          <w:rFonts w:ascii="Calibri" w:hAnsi="Calibri" w:cs="Calibri"/>
          <w:color w:val="002060"/>
          <w:szCs w:val="20"/>
        </w:rPr>
        <w:t>Cass.,</w:t>
      </w:r>
      <w:proofErr w:type="gramEnd"/>
      <w:r w:rsidRPr="0009090A">
        <w:rPr>
          <w:rFonts w:ascii="Calibri" w:hAnsi="Calibri" w:cs="Calibri"/>
          <w:color w:val="002060"/>
          <w:szCs w:val="20"/>
        </w:rPr>
        <w:t xml:space="preserve"> 15 maggio 1953, n. 1386, in </w:t>
      </w:r>
      <w:proofErr w:type="spellStart"/>
      <w:r w:rsidRPr="0009090A">
        <w:rPr>
          <w:rFonts w:ascii="Calibri" w:hAnsi="Calibri" w:cs="Calibri"/>
          <w:i/>
          <w:color w:val="002060"/>
          <w:szCs w:val="20"/>
        </w:rPr>
        <w:t>Giust</w:t>
      </w:r>
      <w:proofErr w:type="spellEnd"/>
      <w:r w:rsidRPr="0009090A">
        <w:rPr>
          <w:rFonts w:ascii="Calibri" w:hAnsi="Calibri" w:cs="Calibri"/>
          <w:i/>
          <w:color w:val="002060"/>
          <w:szCs w:val="20"/>
        </w:rPr>
        <w:t xml:space="preserve">. </w:t>
      </w:r>
      <w:proofErr w:type="gramStart"/>
      <w:r w:rsidRPr="0009090A">
        <w:rPr>
          <w:rFonts w:ascii="Calibri" w:hAnsi="Calibri" w:cs="Calibri"/>
          <w:i/>
          <w:color w:val="002060"/>
          <w:szCs w:val="20"/>
        </w:rPr>
        <w:t>civ</w:t>
      </w:r>
      <w:r w:rsidRPr="0009090A">
        <w:rPr>
          <w:rFonts w:ascii="Calibri" w:hAnsi="Calibri" w:cs="Calibri"/>
          <w:color w:val="002060"/>
          <w:szCs w:val="20"/>
        </w:rPr>
        <w:t>.,</w:t>
      </w:r>
      <w:proofErr w:type="gramEnd"/>
      <w:r w:rsidRPr="0009090A">
        <w:rPr>
          <w:rFonts w:ascii="Calibri" w:hAnsi="Calibri" w:cs="Calibri"/>
          <w:color w:val="002060"/>
          <w:szCs w:val="20"/>
        </w:rPr>
        <w:t xml:space="preserve"> 1951, I, p. 1623; Cass., 20 aprile 1964, n. 929, in </w:t>
      </w:r>
      <w:proofErr w:type="spellStart"/>
      <w:r w:rsidRPr="0009090A">
        <w:rPr>
          <w:rFonts w:ascii="Calibri" w:hAnsi="Calibri" w:cs="Calibri"/>
          <w:i/>
          <w:color w:val="002060"/>
          <w:szCs w:val="20"/>
        </w:rPr>
        <w:t>Giust</w:t>
      </w:r>
      <w:proofErr w:type="spellEnd"/>
      <w:r w:rsidRPr="0009090A">
        <w:rPr>
          <w:rFonts w:ascii="Calibri" w:hAnsi="Calibri" w:cs="Calibri"/>
          <w:i/>
          <w:color w:val="002060"/>
          <w:szCs w:val="20"/>
        </w:rPr>
        <w:t xml:space="preserve">.. </w:t>
      </w:r>
      <w:proofErr w:type="gramStart"/>
      <w:r w:rsidRPr="0009090A">
        <w:rPr>
          <w:rFonts w:ascii="Calibri" w:hAnsi="Calibri" w:cs="Calibri"/>
          <w:i/>
          <w:color w:val="002060"/>
          <w:szCs w:val="20"/>
        </w:rPr>
        <w:t>civ</w:t>
      </w:r>
      <w:r w:rsidRPr="0009090A">
        <w:rPr>
          <w:rFonts w:ascii="Calibri" w:hAnsi="Calibri" w:cs="Calibri"/>
          <w:color w:val="002060"/>
          <w:szCs w:val="20"/>
        </w:rPr>
        <w:t>.,</w:t>
      </w:r>
      <w:proofErr w:type="gramEnd"/>
      <w:r w:rsidRPr="0009090A">
        <w:rPr>
          <w:rFonts w:ascii="Calibri" w:hAnsi="Calibri" w:cs="Calibri"/>
          <w:color w:val="002060"/>
          <w:szCs w:val="20"/>
        </w:rPr>
        <w:t xml:space="preserve"> I, p. 1361; Cass., 7 gennaio 1967, n. 78, in </w:t>
      </w:r>
      <w:proofErr w:type="spellStart"/>
      <w:r w:rsidRPr="0009090A">
        <w:rPr>
          <w:rFonts w:ascii="Calibri" w:hAnsi="Calibri" w:cs="Calibri"/>
          <w:i/>
          <w:color w:val="002060"/>
          <w:szCs w:val="20"/>
        </w:rPr>
        <w:t>Giust</w:t>
      </w:r>
      <w:proofErr w:type="spellEnd"/>
      <w:r w:rsidRPr="0009090A">
        <w:rPr>
          <w:rFonts w:ascii="Calibri" w:hAnsi="Calibri" w:cs="Calibri"/>
          <w:i/>
          <w:color w:val="002060"/>
          <w:szCs w:val="20"/>
        </w:rPr>
        <w:t xml:space="preserve">. </w:t>
      </w:r>
      <w:proofErr w:type="gramStart"/>
      <w:r w:rsidRPr="0009090A">
        <w:rPr>
          <w:rFonts w:ascii="Calibri" w:hAnsi="Calibri" w:cs="Calibri"/>
          <w:i/>
          <w:color w:val="002060"/>
          <w:szCs w:val="20"/>
        </w:rPr>
        <w:t>civ</w:t>
      </w:r>
      <w:r w:rsidRPr="0009090A">
        <w:rPr>
          <w:rFonts w:ascii="Calibri" w:hAnsi="Calibri" w:cs="Calibri"/>
          <w:color w:val="002060"/>
          <w:szCs w:val="20"/>
        </w:rPr>
        <w:t>.,</w:t>
      </w:r>
      <w:proofErr w:type="gramEnd"/>
      <w:r w:rsidRPr="0009090A">
        <w:rPr>
          <w:rFonts w:ascii="Calibri" w:hAnsi="Calibri" w:cs="Calibri"/>
          <w:color w:val="002060"/>
          <w:szCs w:val="20"/>
        </w:rPr>
        <w:t xml:space="preserve"> I, p. 1102. In senso contrario, sempre in giurisprudenza si è sostenuto che «La durata delle funzioni dell’esecutore testamentario è uguale a quella della durata della detenzione che il medesimo, ai sens</w:t>
      </w:r>
      <w:r>
        <w:rPr>
          <w:rFonts w:ascii="Calibri" w:hAnsi="Calibri" w:cs="Calibri"/>
          <w:color w:val="002060"/>
        </w:rPr>
        <w:t>i</w:t>
      </w:r>
      <w:r w:rsidRPr="0009090A">
        <w:rPr>
          <w:rFonts w:ascii="Calibri" w:hAnsi="Calibri" w:cs="Calibri"/>
          <w:color w:val="002060"/>
          <w:szCs w:val="20"/>
        </w:rPr>
        <w:t xml:space="preserve"> dell’art. 703 c.c., conserva dei beni ereditari; per cui perduta dall’esecutore testamentario, per lo spirar del termine di cui al ricordato articolo, la detenzione dei beni costituenti la massa ereditaria, viene anche ed immediatamente a cessare la carica di esecutore testamentario» App. Roma, 8 aprile 1952, in </w:t>
      </w:r>
      <w:r w:rsidRPr="0009090A">
        <w:rPr>
          <w:rFonts w:ascii="Calibri" w:hAnsi="Calibri" w:cs="Calibri"/>
          <w:i/>
          <w:color w:val="002060"/>
          <w:szCs w:val="20"/>
        </w:rPr>
        <w:t>Temi Rom</w:t>
      </w:r>
      <w:r w:rsidRPr="0009090A">
        <w:rPr>
          <w:rFonts w:ascii="Calibri" w:hAnsi="Calibri" w:cs="Calibri"/>
          <w:color w:val="002060"/>
          <w:szCs w:val="20"/>
        </w:rPr>
        <w:t xml:space="preserve">., 1952, p. 200; e in </w:t>
      </w:r>
      <w:r w:rsidRPr="0009090A">
        <w:rPr>
          <w:rFonts w:ascii="Calibri" w:hAnsi="Calibri" w:cs="Calibri"/>
          <w:i/>
          <w:color w:val="002060"/>
          <w:szCs w:val="20"/>
        </w:rPr>
        <w:t>Rep. Foro it</w:t>
      </w:r>
      <w:r w:rsidRPr="0009090A">
        <w:rPr>
          <w:rFonts w:ascii="Calibri" w:hAnsi="Calibri" w:cs="Calibri"/>
          <w:color w:val="002060"/>
          <w:szCs w:val="20"/>
        </w:rPr>
        <w:t xml:space="preserve">., 1952, </w:t>
      </w:r>
      <w:r w:rsidRPr="0009090A">
        <w:rPr>
          <w:rFonts w:ascii="Calibri" w:hAnsi="Calibri" w:cs="Calibri"/>
          <w:i/>
          <w:color w:val="002060"/>
          <w:szCs w:val="20"/>
        </w:rPr>
        <w:t>Successione legittima o testamentaria</w:t>
      </w:r>
      <w:r w:rsidRPr="0009090A">
        <w:rPr>
          <w:rFonts w:ascii="Calibri" w:hAnsi="Calibri" w:cs="Calibri"/>
          <w:color w:val="002060"/>
          <w:szCs w:val="20"/>
        </w:rPr>
        <w:t xml:space="preserve">, c. 166. App. Torino, 21 maggio 1959, in </w:t>
      </w:r>
      <w:proofErr w:type="spellStart"/>
      <w:r w:rsidRPr="0009090A">
        <w:rPr>
          <w:rFonts w:ascii="Calibri" w:hAnsi="Calibri" w:cs="Calibri"/>
          <w:i/>
          <w:color w:val="002060"/>
          <w:szCs w:val="20"/>
        </w:rPr>
        <w:t>Giust</w:t>
      </w:r>
      <w:proofErr w:type="spellEnd"/>
      <w:r w:rsidRPr="0009090A">
        <w:rPr>
          <w:rFonts w:ascii="Calibri" w:hAnsi="Calibri" w:cs="Calibri"/>
          <w:i/>
          <w:color w:val="002060"/>
          <w:szCs w:val="20"/>
        </w:rPr>
        <w:t>. civ. Rep</w:t>
      </w:r>
      <w:r w:rsidRPr="0009090A">
        <w:rPr>
          <w:rFonts w:ascii="Calibri" w:hAnsi="Calibri" w:cs="Calibri"/>
          <w:color w:val="002060"/>
          <w:szCs w:val="20"/>
        </w:rPr>
        <w:t>, 1959. Cfr., C. G</w:t>
      </w:r>
      <w:r w:rsidRPr="0009090A">
        <w:rPr>
          <w:rFonts w:ascii="Calibri" w:hAnsi="Calibri" w:cs="Calibri"/>
          <w:smallCaps/>
          <w:color w:val="002060"/>
          <w:szCs w:val="20"/>
        </w:rPr>
        <w:t>iannattasio</w:t>
      </w:r>
      <w:r w:rsidRPr="0009090A">
        <w:rPr>
          <w:rFonts w:ascii="Calibri" w:hAnsi="Calibri" w:cs="Calibri"/>
          <w:color w:val="002060"/>
          <w:szCs w:val="20"/>
        </w:rPr>
        <w:t xml:space="preserve">, </w:t>
      </w:r>
      <w:r w:rsidRPr="0009090A">
        <w:rPr>
          <w:rFonts w:ascii="Calibri" w:hAnsi="Calibri" w:cs="Calibri"/>
          <w:i/>
          <w:color w:val="002060"/>
          <w:szCs w:val="20"/>
        </w:rPr>
        <w:t>Delle successioni. Successioni testamentarie</w:t>
      </w:r>
      <w:r w:rsidRPr="0009090A">
        <w:rPr>
          <w:rFonts w:ascii="Calibri" w:hAnsi="Calibri" w:cs="Calibri"/>
          <w:color w:val="002060"/>
          <w:szCs w:val="20"/>
        </w:rPr>
        <w:t xml:space="preserve">, in </w:t>
      </w:r>
      <w:r w:rsidRPr="0009090A">
        <w:rPr>
          <w:rFonts w:ascii="Calibri" w:hAnsi="Calibri" w:cs="Calibri"/>
          <w:i/>
          <w:color w:val="002060"/>
          <w:szCs w:val="20"/>
        </w:rPr>
        <w:t xml:space="preserve">Comm. cod. </w:t>
      </w:r>
      <w:proofErr w:type="gramStart"/>
      <w:r w:rsidRPr="0009090A">
        <w:rPr>
          <w:rFonts w:ascii="Calibri" w:hAnsi="Calibri" w:cs="Calibri"/>
          <w:i/>
          <w:color w:val="002060"/>
          <w:szCs w:val="20"/>
        </w:rPr>
        <w:t>civ</w:t>
      </w:r>
      <w:r w:rsidRPr="0009090A">
        <w:rPr>
          <w:rFonts w:ascii="Calibri" w:hAnsi="Calibri" w:cs="Calibri"/>
          <w:color w:val="002060"/>
          <w:szCs w:val="20"/>
        </w:rPr>
        <w:t>.,</w:t>
      </w:r>
      <w:proofErr w:type="gramEnd"/>
      <w:r w:rsidRPr="0009090A">
        <w:rPr>
          <w:rFonts w:ascii="Calibri" w:hAnsi="Calibri" w:cs="Calibri"/>
          <w:color w:val="002060"/>
          <w:szCs w:val="20"/>
        </w:rPr>
        <w:t xml:space="preserve"> Torino, 1968, p. 416.</w:t>
      </w:r>
    </w:p>
    <w:p w:rsidR="001328BE" w:rsidRPr="00AC49BF" w:rsidRDefault="001328BE" w:rsidP="00666AAF"/>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8F6200F"/>
    <w:multiLevelType w:val="hybridMultilevel"/>
    <w:tmpl w:val="39FAAE90"/>
    <w:lvl w:ilvl="0" w:tplc="AC9687DC">
      <w:start w:val="1"/>
      <w:numFmt w:val="decimal"/>
      <w:lvlText w:val="%1)"/>
      <w:lvlJc w:val="left"/>
      <w:pPr>
        <w:ind w:left="862" w:hanging="360"/>
      </w:pPr>
      <w:rPr>
        <w:rFonts w:cs="Times New Roman" w:hint="default"/>
        <w:b/>
        <w:i w:val="0"/>
        <w:sz w:val="24"/>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3">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AF"/>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66AA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2C644F-A631-4CC1-A58A-84DE0637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66AAF"/>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666AAF"/>
    <w:pPr>
      <w:widowControl w:val="0"/>
      <w:autoSpaceDE w:val="0"/>
      <w:autoSpaceDN w:val="0"/>
      <w:adjustRightInd w:val="0"/>
      <w:spacing w:line="240" w:lineRule="exact"/>
    </w:pPr>
  </w:style>
  <w:style w:type="character" w:customStyle="1" w:styleId="TestonotaapidipaginaCarattere">
    <w:name w:val="Testo nota a piè di pagina Carattere"/>
    <w:basedOn w:val="Carpredefinitoparagrafo"/>
    <w:link w:val="Testonotaapidipagina"/>
    <w:uiPriority w:val="99"/>
    <w:rsid w:val="00666AAF"/>
    <w:rPr>
      <w:rFonts w:ascii="Verdana" w:hAnsi="Verdana"/>
      <w:szCs w:val="22"/>
    </w:rPr>
  </w:style>
  <w:style w:type="character" w:customStyle="1" w:styleId="resultlisthighlightterm">
    <w:name w:val="resultlisthighlightterm"/>
    <w:rsid w:val="0066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1447</Words>
  <Characters>8248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2015-04-03T16:53:00Z</dcterms:created>
  <dcterms:modified xsi:type="dcterms:W3CDTF">2015-04-03T16:58:00Z</dcterms:modified>
</cp:coreProperties>
</file>